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中国共产党永清县委员会党校</w:t>
      </w:r>
      <w:r>
        <w:rPr>
          <w:rFonts w:ascii="Times New Roman" w:hAnsi="Times New Roman" w:eastAsia="方正小标宋简体" w:cs="Times New Roman"/>
          <w:sz w:val="44"/>
          <w:szCs w:val="44"/>
        </w:rPr>
        <w:t>2023年部门预算信息公开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中国共产党永清县委员会党校</w:t>
      </w:r>
      <w:r>
        <w:rPr>
          <w:rFonts w:ascii="Times New Roman" w:hAnsi="Times New Roman" w:eastAsia="仿宋_GB2312" w:cs="Times New Roman"/>
          <w:sz w:val="32"/>
          <w:szCs w:val="32"/>
        </w:rPr>
        <w:t>2023年部门预算公开如下：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60"/>
        <w:rPr>
          <w:rFonts w:ascii="仿宋_GB2312" w:eastAsia="仿宋_GB2312" w:cs="仿宋_GB2312"/>
          <w:sz w:val="32"/>
          <w:szCs w:val="32"/>
        </w:rPr>
      </w:pPr>
      <w:r>
        <w:rPr>
          <w:rFonts w:ascii="Times New Roman" w:hAnsi="Times New Roman" w:eastAsia="楷体_GB2312"/>
          <w:b/>
          <w:sz w:val="32"/>
          <w:szCs w:val="32"/>
        </w:rPr>
        <w:t>部门职责：</w:t>
      </w:r>
      <w:r>
        <w:rPr>
          <w:rFonts w:hint="eastAsia" w:ascii="仿宋_GB2312" w:eastAsia="仿宋_GB2312" w:cs="仿宋_GB2312"/>
          <w:sz w:val="32"/>
          <w:szCs w:val="32"/>
        </w:rPr>
        <w:t>1、轮训各级党员领导干部；2、培训中青年党员领导干部；3、培训意识形态部门的领导干部和理论骨干；4、协同组织人事部门，对学员在校期间进行考核考察；5、围绕国际国内出现的新情况、新问题，开展科学研究；6、宣传马克思列宁主义、毛泽东思想，宣传建设有中国特色社会主义理论和党的路线、方针、政策。</w:t>
      </w:r>
    </w:p>
    <w:p>
      <w:pPr>
        <w:autoSpaceDE w:val="0"/>
        <w:autoSpaceDN w:val="0"/>
        <w:adjustRightInd w:val="0"/>
        <w:ind w:firstLine="643" w:firstLineChars="200"/>
        <w:jc w:val="left"/>
        <w:rPr>
          <w:rFonts w:ascii="仿宋_GB2312" w:eastAsia="仿宋_GB2312" w:cs="仿宋_GB2312"/>
          <w:sz w:val="32"/>
          <w:szCs w:val="32"/>
        </w:rPr>
      </w:pPr>
      <w:r>
        <w:rPr>
          <w:rFonts w:ascii="Times New Roman" w:hAnsi="Times New Roman" w:eastAsia="楷体_GB2312"/>
          <w:b/>
          <w:sz w:val="32"/>
          <w:szCs w:val="32"/>
        </w:rPr>
        <w:t>机构设置：</w:t>
      </w:r>
      <w:r>
        <w:rPr>
          <w:rFonts w:hint="eastAsia" w:ascii="仿宋_GB2312" w:eastAsia="仿宋_GB2312" w:cs="仿宋_GB2312"/>
          <w:sz w:val="32"/>
          <w:szCs w:val="32"/>
        </w:rPr>
        <w:t>设置4个职能股室。1、办公室：负责本单位文字、材料的起草打印；机关考勤工作及机关政治业务学习的组织工作；取送文件及档案管理工作；单位的日常接待工作。2、教研室（含廉政建设教研室）：组织教师备课、试讲、上课及开展教研活动；安排各班次的任课教师。协助县委纪律委员会搞好廉政建设基地，搞好廉政建设培训。3、干训室：负责配合县委组织轮训全县各级党员领导干部；负责干部培训文字材料的起草打印及上报下达工作；学员组织、管理工作；有关干部培训的其他方面工作。4、总务处：负责本单位后勤采购及财务管理；来客招待及伙房管理工作；机关各种物资的存放及管理；单位内部绿化及清洁管理工作。</w:t>
      </w:r>
    </w:p>
    <w:p>
      <w:pPr>
        <w:autoSpaceDE w:val="0"/>
        <w:autoSpaceDN w:val="0"/>
        <w:adjustRightInd w:val="0"/>
        <w:ind w:firstLine="640" w:firstLineChars="200"/>
        <w:jc w:val="left"/>
        <w:rPr>
          <w:rFonts w:ascii="仿宋_GB2312" w:eastAsia="仿宋_GB2312" w:cs="仿宋_GB2312"/>
          <w:sz w:val="32"/>
          <w:szCs w:val="32"/>
        </w:rPr>
      </w:pPr>
    </w:p>
    <w:p>
      <w:pPr>
        <w:autoSpaceDE w:val="0"/>
        <w:autoSpaceDN w:val="0"/>
        <w:adjustRightInd w:val="0"/>
        <w:ind w:firstLine="640" w:firstLineChars="200"/>
        <w:jc w:val="left"/>
        <w:rPr>
          <w:rFonts w:ascii="仿宋_GB2312" w:eastAsia="仿宋_GB2312" w:cs="仿宋_GB2312"/>
          <w:sz w:val="32"/>
          <w:szCs w:val="32"/>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b/>
              </w:rPr>
              <w:t>中国共产党永清县委员会党校</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pStyle w:val="23"/>
        <w:rPr>
          <w:rFonts w:ascii="仿宋_GB2312" w:eastAsia="仿宋_GB2312" w:cs="仿宋_GB2312"/>
          <w:sz w:val="32"/>
          <w:szCs w:val="32"/>
        </w:rPr>
      </w:pPr>
      <w:r>
        <w:rPr>
          <w:rFonts w:eastAsia="仿宋_GB2312"/>
          <w:sz w:val="32"/>
          <w:szCs w:val="32"/>
        </w:rPr>
        <w:t>按照预算管理有关规定，目前我县部门预算的编制实行综合预算制度，即全部收入和支出都反映在预算中。</w:t>
      </w:r>
      <w:r>
        <w:rPr>
          <w:rFonts w:ascii="仿宋_GB2312" w:eastAsia="仿宋_GB2312" w:cs="仿宋_GB2312"/>
          <w:sz w:val="32"/>
          <w:szCs w:val="32"/>
        </w:rPr>
        <w:t>中国共产党永清县委员会党校机关及所属事业单位的收支包含在部门预算中。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反映本部门当年全部收入。2023年预算收入</w:t>
      </w:r>
      <w:r>
        <w:rPr>
          <w:rFonts w:hint="eastAsia" w:ascii="Times New Roman" w:hAnsi="Times New Roman" w:eastAsia="仿宋_GB2312" w:cs="Times New Roman"/>
          <w:sz w:val="32"/>
          <w:szCs w:val="32"/>
        </w:rPr>
        <w:t>421.21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421.21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中国共产党永清县委员会党校2023</w:t>
      </w:r>
      <w:r>
        <w:rPr>
          <w:rFonts w:ascii="Times New Roman" w:hAnsi="Times New Roman" w:eastAsia="仿宋_GB2312" w:cs="Times New Roman"/>
          <w:sz w:val="32"/>
          <w:szCs w:val="32"/>
        </w:rPr>
        <w:t>年度部门预算中支出预算的总体情况。2023年支出预算</w:t>
      </w:r>
      <w:r>
        <w:rPr>
          <w:rFonts w:hint="eastAsia" w:ascii="Times New Roman" w:hAnsi="Times New Roman" w:eastAsia="仿宋_GB2312" w:cs="Times New Roman"/>
          <w:sz w:val="32"/>
          <w:szCs w:val="32"/>
        </w:rPr>
        <w:t>421.21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401.21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374.18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27.03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2023年预算收支安排</w:t>
      </w:r>
      <w:r>
        <w:rPr>
          <w:rFonts w:hint="eastAsia" w:ascii="Times New Roman" w:hAnsi="Times New Roman" w:eastAsia="仿宋_GB2312" w:cs="Times New Roman"/>
          <w:sz w:val="32"/>
          <w:szCs w:val="32"/>
        </w:rPr>
        <w:t>421.21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2年预算增加</w:t>
      </w:r>
      <w:r>
        <w:rPr>
          <w:rFonts w:hint="eastAsia" w:ascii="Times New Roman" w:hAnsi="Times New Roman" w:eastAsia="仿宋_GB2312" w:cs="Times New Roman"/>
          <w:sz w:val="32"/>
          <w:szCs w:val="32"/>
        </w:rPr>
        <w:t>103.61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107.61</w:t>
      </w:r>
      <w:r>
        <w:rPr>
          <w:rFonts w:ascii="Times New Roman" w:hAnsi="Times New Roman" w:eastAsia="仿宋_GB2312" w:cs="Times New Roman"/>
          <w:sz w:val="32"/>
          <w:szCs w:val="32"/>
        </w:rPr>
        <w:t>万元，主要为人员类项目经费和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公用项目经费支出；项目支出</w:t>
      </w:r>
      <w:r>
        <w:rPr>
          <w:rFonts w:ascii="Times New Roman" w:hAnsi="Times New Roman" w:eastAsia="仿宋_GB2312" w:cs="Times New Roman"/>
          <w:color w:val="000000" w:themeColor="text1"/>
          <w:sz w:val="32"/>
          <w:szCs w:val="32"/>
          <w14:textFill>
            <w14:solidFill>
              <w14:schemeClr w14:val="tx1"/>
            </w14:solidFill>
          </w14:textFill>
        </w:rPr>
        <w:t>减少</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pStyle w:val="23"/>
        <w:rPr>
          <w:rFonts w:ascii="仿宋_GB2312" w:eastAsia="仿宋_GB2312" w:cs="仿宋_GB2312"/>
          <w:sz w:val="32"/>
          <w:szCs w:val="32"/>
        </w:rPr>
      </w:pPr>
      <w:r>
        <w:rPr>
          <w:rFonts w:hint="eastAsia"/>
        </w:rPr>
        <w:t>2023年，</w:t>
      </w:r>
      <w:r>
        <w:rPr>
          <w:rFonts w:eastAsia="仿宋_GB2312"/>
          <w:sz w:val="32"/>
          <w:szCs w:val="32"/>
        </w:rPr>
        <w:t>我</w:t>
      </w:r>
      <w:r>
        <w:rPr>
          <w:rFonts w:hint="eastAsia" w:eastAsia="仿宋_GB2312"/>
          <w:sz w:val="32"/>
          <w:szCs w:val="32"/>
        </w:rPr>
        <w:t>部门</w:t>
      </w:r>
      <w:r>
        <w:rPr>
          <w:rFonts w:eastAsia="仿宋_GB2312"/>
          <w:sz w:val="32"/>
          <w:szCs w:val="32"/>
        </w:rPr>
        <w:t>机关运行经费共计安排</w:t>
      </w:r>
      <w:r>
        <w:rPr>
          <w:rFonts w:hint="eastAsia" w:eastAsia="仿宋_GB2312"/>
          <w:sz w:val="32"/>
          <w:szCs w:val="32"/>
        </w:rPr>
        <w:t>27.03</w:t>
      </w:r>
      <w:r>
        <w:rPr>
          <w:rFonts w:eastAsia="仿宋_GB2312"/>
          <w:sz w:val="32"/>
          <w:szCs w:val="32"/>
        </w:rPr>
        <w:t>万元，</w:t>
      </w:r>
      <w:r>
        <w:rPr>
          <w:rFonts w:hint="eastAsia" w:ascii="仿宋_GB2312" w:eastAsia="仿宋_GB2312" w:cs="仿宋_GB2312"/>
          <w:sz w:val="32"/>
          <w:szCs w:val="32"/>
        </w:rPr>
        <w:t>主要用于中国共产党永清县委员会党校办公区的日常维修、办公用房水电费、办公用房取暖费、日常办公费、印刷费、邮电费、会议费、培训费、公务接待费、公务用车运行维护费以及公务交通补贴、公务通讯补贴、工会经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23</w:t>
      </w:r>
      <w:r>
        <w:rPr>
          <w:rFonts w:ascii="Times New Roman" w:hAnsi="Times New Roman" w:eastAsia="仿宋_GB2312"/>
          <w:sz w:val="32"/>
          <w:szCs w:val="32"/>
        </w:rPr>
        <w:t>年，我</w:t>
      </w:r>
      <w:r>
        <w:rPr>
          <w:rFonts w:hint="eastAsia" w:ascii="Times New Roman" w:hAnsi="Times New Roman" w:eastAsia="仿宋_GB2312"/>
          <w:sz w:val="32"/>
          <w:szCs w:val="32"/>
        </w:rPr>
        <w:t>部门</w:t>
      </w:r>
      <w:r>
        <w:rPr>
          <w:rFonts w:ascii="Times New Roman" w:hAnsi="Times New Roman" w:eastAsia="仿宋_GB2312"/>
          <w:sz w:val="32"/>
          <w:szCs w:val="32"/>
        </w:rPr>
        <w:t>财政拨款“三公”经费预算安排</w:t>
      </w:r>
      <w:r>
        <w:rPr>
          <w:rFonts w:hint="eastAsia" w:ascii="Times New Roman" w:hAnsi="Times New Roman" w:eastAsia="仿宋_GB2312"/>
          <w:sz w:val="32"/>
          <w:szCs w:val="32"/>
        </w:rPr>
        <w:t>1.17</w:t>
      </w:r>
      <w:r>
        <w:rPr>
          <w:rFonts w:ascii="Times New Roman" w:hAnsi="Times New Roman" w:eastAsia="仿宋_GB2312"/>
          <w:sz w:val="32"/>
          <w:szCs w:val="32"/>
        </w:rPr>
        <w:t>万元</w:t>
      </w:r>
      <w:r>
        <w:rPr>
          <w:rFonts w:hint="eastAsia" w:ascii="Times New Roman" w:hAnsi="Times New Roman" w:eastAsia="仿宋_GB2312"/>
          <w:sz w:val="32"/>
          <w:szCs w:val="32"/>
        </w:rPr>
        <w:t>。</w:t>
      </w:r>
      <w:r>
        <w:rPr>
          <w:rFonts w:ascii="Times New Roman" w:hAnsi="Times New Roman" w:eastAsia="仿宋_GB2312"/>
          <w:sz w:val="32"/>
          <w:szCs w:val="32"/>
        </w:rPr>
        <w:t>其中</w:t>
      </w:r>
      <w:r>
        <w:rPr>
          <w:rFonts w:hint="eastAsia" w:ascii="Times New Roman" w:hAnsi="Times New Roman" w:eastAsia="仿宋_GB2312"/>
          <w:sz w:val="32"/>
          <w:szCs w:val="32"/>
        </w:rPr>
        <w:t>，</w:t>
      </w:r>
      <w:r>
        <w:rPr>
          <w:rFonts w:ascii="Times New Roman" w:hAnsi="Times New Roman" w:eastAsia="仿宋_GB2312"/>
          <w:sz w:val="32"/>
          <w:szCs w:val="32"/>
        </w:rPr>
        <w:t>因公出国（境）费</w:t>
      </w:r>
      <w:r>
        <w:rPr>
          <w:rFonts w:hint="eastAsia" w:ascii="Times New Roman" w:hAnsi="Times New Roman" w:eastAsia="仿宋_GB2312"/>
          <w:sz w:val="32"/>
          <w:szCs w:val="32"/>
        </w:rPr>
        <w:t>0</w:t>
      </w:r>
      <w:r>
        <w:rPr>
          <w:rFonts w:ascii="Times New Roman" w:hAnsi="Times New Roman" w:eastAsia="仿宋_GB2312"/>
          <w:sz w:val="32"/>
          <w:szCs w:val="32"/>
        </w:rPr>
        <w:t>万元；公务用车购置及运维费</w:t>
      </w:r>
      <w:r>
        <w:rPr>
          <w:rFonts w:hint="eastAsia" w:ascii="Times New Roman" w:hAnsi="Times New Roman" w:eastAsia="仿宋_GB2312"/>
          <w:sz w:val="32"/>
          <w:szCs w:val="32"/>
        </w:rPr>
        <w:t>1.17</w:t>
      </w:r>
      <w:r>
        <w:rPr>
          <w:rFonts w:ascii="Times New Roman" w:hAnsi="Times New Roman" w:eastAsia="仿宋_GB2312"/>
          <w:sz w:val="32"/>
          <w:szCs w:val="32"/>
        </w:rPr>
        <w:t>万元（其中：公务用车购置费为</w:t>
      </w:r>
      <w:r>
        <w:rPr>
          <w:rFonts w:hint="eastAsia" w:ascii="Times New Roman" w:hAnsi="Times New Roman" w:eastAsia="仿宋_GB2312"/>
          <w:sz w:val="32"/>
          <w:szCs w:val="32"/>
        </w:rPr>
        <w:t>0</w:t>
      </w:r>
      <w:r>
        <w:rPr>
          <w:rFonts w:ascii="Times New Roman" w:hAnsi="Times New Roman" w:eastAsia="仿宋_GB2312"/>
          <w:sz w:val="32"/>
          <w:szCs w:val="32"/>
        </w:rPr>
        <w:t>万元，公务用车运维费</w:t>
      </w:r>
      <w:r>
        <w:rPr>
          <w:rFonts w:hint="eastAsia" w:ascii="Times New Roman" w:hAnsi="Times New Roman" w:eastAsia="仿宋_GB2312"/>
          <w:sz w:val="32"/>
          <w:szCs w:val="32"/>
        </w:rPr>
        <w:t>1.17</w:t>
      </w:r>
      <w:r>
        <w:rPr>
          <w:rFonts w:ascii="Times New Roman" w:hAnsi="Times New Roman" w:eastAsia="仿宋_GB2312"/>
          <w:sz w:val="32"/>
          <w:szCs w:val="32"/>
        </w:rPr>
        <w:t>万元)；公务接待费</w:t>
      </w:r>
      <w:r>
        <w:rPr>
          <w:rFonts w:hint="eastAsia" w:ascii="Times New Roman" w:hAnsi="Times New Roman" w:eastAsia="仿宋_GB2312"/>
          <w:sz w:val="32"/>
          <w:szCs w:val="32"/>
        </w:rPr>
        <w:t>0</w:t>
      </w:r>
      <w:r>
        <w:rPr>
          <w:rFonts w:ascii="Times New Roman" w:hAnsi="Times New Roman" w:eastAsia="仿宋_GB2312"/>
          <w:sz w:val="32"/>
          <w:szCs w:val="32"/>
        </w:rPr>
        <w:t>万元。与20</w:t>
      </w:r>
      <w:r>
        <w:rPr>
          <w:rFonts w:hint="eastAsia" w:ascii="Times New Roman" w:hAnsi="Times New Roman" w:eastAsia="仿宋_GB2312"/>
          <w:sz w:val="32"/>
          <w:szCs w:val="32"/>
        </w:rPr>
        <w:t>22</w:t>
      </w:r>
      <w:r>
        <w:rPr>
          <w:rFonts w:ascii="Times New Roman" w:hAnsi="Times New Roman" w:eastAsia="仿宋_GB2312"/>
          <w:sz w:val="32"/>
          <w:szCs w:val="32"/>
        </w:rPr>
        <w:t>年</w:t>
      </w:r>
      <w:r>
        <w:rPr>
          <w:rFonts w:hint="eastAsia" w:ascii="Times New Roman" w:hAnsi="Times New Roman" w:eastAsia="仿宋_GB2312"/>
          <w:sz w:val="32"/>
          <w:szCs w:val="32"/>
        </w:rPr>
        <w:t>相比持平</w:t>
      </w:r>
      <w:r>
        <w:rPr>
          <w:rFonts w:ascii="Times New Roman" w:hAnsi="Times New Roman" w:eastAsia="仿宋_GB2312"/>
          <w:sz w:val="32"/>
          <w:szCs w:val="32"/>
        </w:rPr>
        <w:t>，</w:t>
      </w:r>
      <w:r>
        <w:rPr>
          <w:rFonts w:hint="eastAsia" w:ascii="Times New Roman" w:hAnsi="Times New Roman" w:eastAsia="仿宋_GB2312"/>
          <w:sz w:val="32"/>
          <w:szCs w:val="32"/>
        </w:rPr>
        <w:t>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4"/>
        <w:ind w:firstLineChars="200"/>
      </w:pPr>
      <w:r>
        <w:t>总体绩效目标</w:t>
      </w:r>
    </w:p>
    <w:p>
      <w:pPr>
        <w:pStyle w:val="24"/>
      </w:pPr>
      <w:r>
        <w:t>发挥党校干部培训和理论研究的主阵地、主渠道作用，通过对全县党员干部进行党的政策理论知识和党性教育等培训，有效提高党员干部的理论水平、思想觉悟和工作能力；通过对重大理论和现实问题研究，有效推进理论创新；通过开展调查研究，拿出一批有质量的成果为领导决策服务；通过对党的路线方针政策的宣传和重大理论问题的分析解读，使党员干部掌握马克思主义理论，坚定理想信念，始终和党中央保持一致。年内组织开展4期全县村街“两委”党员干部培训；继续创办《理论*调研*提升》刊物，每年4期；开展科研协作，完成省市级立项的科研课题4个、咨政报告4篇、学术论文4篇，有利统筹我县现有教育培训资源，提升党校办学治学水平，提升党校科研能力和水平。通过工作开展，有效引导党员干部树立新时代的新发展理念，提升综合素质和能力，坚定理想信念，增强为民服务宗旨意识，为建设临空强县、大美永清打造高素质高水平党员干部队伍。同时，加强党校基础设施建设，全力保障党校机关正常运转；实施党校“四个二十”工程建设，提高党校治学办学水平，提升我县党校干部教育培训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5"/>
      </w:pPr>
      <w:r>
        <w:t>分项绩效目标</w:t>
      </w:r>
    </w:p>
    <w:p>
      <w:pPr>
        <w:pStyle w:val="25"/>
      </w:pPr>
      <w:r>
        <w:t>(一) 组织党员干部培训班</w:t>
      </w:r>
    </w:p>
    <w:p>
      <w:pPr>
        <w:pStyle w:val="25"/>
      </w:pPr>
      <w:r>
        <w:t>绩效目标: 通过外请专家、教授授课，开拓学员思路；通过现场教学、情景教学、案例教学，有效提高培训质量，提高学员解决实际问题的能力。</w:t>
      </w:r>
    </w:p>
    <w:p>
      <w:pPr>
        <w:pStyle w:val="25"/>
      </w:pPr>
      <w:r>
        <w:t>绩效指标: 培训对象数量占应覆盖对象数量的比率达到100%；组织农村党员干部培训期次4期；农村党员干部培训人次不少于600人次；调查中满意和较满意的受训学员数量占调查总人数的比率达到90%以上；有效提升受训学员理论素养和工作能力。</w:t>
      </w:r>
    </w:p>
    <w:p>
      <w:pPr>
        <w:pStyle w:val="25"/>
      </w:pPr>
      <w:r>
        <w:t>(二) 管理教学事务</w:t>
      </w:r>
    </w:p>
    <w:p>
      <w:pPr>
        <w:pStyle w:val="25"/>
      </w:pPr>
      <w:r>
        <w:t>绩效目标: 通过严格的行政后勤管理，为学员培训和教学科研活动创造良好的硬件环境和后勤保障。</w:t>
      </w:r>
    </w:p>
    <w:p>
      <w:pPr>
        <w:pStyle w:val="25"/>
      </w:pPr>
      <w:r>
        <w:t>绩效指标：加强党校基础设施建设，完成党校新建工程；受训学员满意程度大于等于90%；有效提升教学办公保障水平和能力。</w:t>
      </w:r>
    </w:p>
    <w:p>
      <w:pPr>
        <w:pStyle w:val="25"/>
      </w:pPr>
      <w:r>
        <w:t>(三)决策咨询和政策宣讲</w:t>
      </w:r>
    </w:p>
    <w:p>
      <w:pPr>
        <w:pStyle w:val="25"/>
      </w:pPr>
      <w:r>
        <w:t>绩效目标：通过决策咨询研究，设立一批有质量的决策咨询服务项目，拿出一批优秀的决策咨询成果，为领导决策咨询服务，发挥思想库和智囊团的作用。开展政策理论宣讲，提升党员干部政策理论水平。</w:t>
      </w:r>
    </w:p>
    <w:p>
      <w:pPr>
        <w:pStyle w:val="25"/>
      </w:pPr>
      <w:r>
        <w:t>绩效指标: 年度内已完成的决策咨询研究工作量占计划量的比例达到100%；送教下乡次数不少于8次；到外部门或单位宣讲党的路线方针政策次数（次）不少于8次；外部门或单位对党校教师宣讲内容的满意程度大于等于90%；有效提升受训学员的政策理论水平。</w:t>
      </w:r>
    </w:p>
    <w:p>
      <w:pPr>
        <w:pStyle w:val="25"/>
      </w:pPr>
      <w:r>
        <w:t>(四)理论研究</w:t>
      </w:r>
    </w:p>
    <w:p>
      <w:pPr>
        <w:pStyle w:val="25"/>
      </w:pPr>
      <w:r>
        <w:t>绩效目标：通过开展重大理论和现实问题调查研究，推动学习交流和理论探索，产出高质量的理论成果。</w:t>
      </w:r>
    </w:p>
    <w:p>
      <w:pPr>
        <w:pStyle w:val="25"/>
      </w:pPr>
      <w:r>
        <w:t>绩效指标:完成理论刊物期数（期）4期；刊发调研文章不少于8篇；刊物实际印发率占应发计划的比率达到100%；刊物服务对象满意率达到90%以上。开展科研协作，完成省市级立项的科研课题4个、咨政报告4篇、学术论文4篇，提升党校科研能力和水平。</w:t>
      </w:r>
    </w:p>
    <w:p>
      <w:pPr>
        <w:pStyle w:val="25"/>
      </w:pPr>
      <w:r>
        <w:t>(五)师资与学科建设</w:t>
      </w:r>
    </w:p>
    <w:p>
      <w:pPr>
        <w:pStyle w:val="25"/>
      </w:pPr>
      <w:r>
        <w:t>绩效目标：通过加强师资培训、交流、培养，提升教师理论水平和综合素质；通过重点培育和建设，形成几门有党校特色的优势学科和重点学科。</w:t>
      </w:r>
    </w:p>
    <w:p>
      <w:pPr>
        <w:pStyle w:val="25"/>
      </w:pPr>
      <w:r>
        <w:t>绩效指标: 党校特色教材教案数量占教材教案总数的比例不少于20%；培育和建设的具有党校教育特色的优势学科门数(门)不少于2门；调研了解教师对培训进修内容的满意程度大于等于90%；实施“四个二十”工程，开发2门精品课程、编写2个教学案例、推荐3名教学名师、建设2个现场教学点。</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6"/>
      </w:pPr>
      <w:r>
        <w:t>工作保障措施</w:t>
      </w:r>
    </w:p>
    <w:p>
      <w:pPr>
        <w:pStyle w:val="26"/>
      </w:pPr>
      <w:r>
        <w:t>（一）加强组织领导，完善相关制度。成立由校主要负责人任组长的预算绩效管理工作领导小组，明确相关科室工作职责和责任人，确保绩效管理工作顺利开展。健全完善《永清县委党校预算管理办法》、《永清县委党校财务管理办法》及机关管理各项制度，规范各业务科室工作流程，为全年预算绩效目标的实现奠定制度基础。</w:t>
      </w:r>
    </w:p>
    <w:p>
      <w:pPr>
        <w:pStyle w:val="26"/>
      </w:pPr>
      <w:r>
        <w:t>（二）加强支出管理，确保支出进度达标。合理科学编细编实预算，明确项目实施时间节点，尽快启动项目、及时支付资金。严格按照上级支出进度要求，抓紧各项工作安排部署，做到提前着手，提前部署，确保工作按时保质保量完成，达到上级规定的支出进度要求，确保支出进度达标。</w:t>
      </w:r>
    </w:p>
    <w:p>
      <w:pPr>
        <w:pStyle w:val="26"/>
      </w:pPr>
      <w:r>
        <w:t>（三）加强绩效运行监控，确保项目按时保质完成。抽调业务科室人员，成立永清县委党校预算绩效管理监控小组，按照上级绩效管理要求，开展项目绩效运行监控，对创办刊物、干部培训主体业务及大门更换修缮等项目进行事中监控，及时发现问题，及时纠偏整改，确保绩效目标如期保质实现。</w:t>
      </w:r>
    </w:p>
    <w:p>
      <w:pPr>
        <w:pStyle w:val="26"/>
      </w:pPr>
      <w:r>
        <w:t>（四）做好绩效自评，加强评价结果应用。按照上级要求，制定完善《永清县委党校项目绩效自评工作方案》，成立绩效自评工作领导小组，深入开展上年度部门预算绩效自评工作，对项目的资金情况、组织实施情况以及绩效情况进行综合分析、评价，对评价中发现的问题及时整改，避免问题重复发生，切实充分发挥绩效评价工作的反馈作用和结果应用。</w:t>
      </w:r>
    </w:p>
    <w:p>
      <w:pPr>
        <w:pStyle w:val="26"/>
      </w:pPr>
      <w:r>
        <w:t>（五）规范财务资产管理，提高管理水平。进一步健全完善《永清县委党校财务管理办法》，规范资金使用，严格审批程序，提高财务管理科学化、规范化水平；健全完善《永清县委党校固定资产管理制度》，加强固定资产登记、使用和报废处置管理，做到支出合理，物尽其用。</w:t>
      </w:r>
    </w:p>
    <w:p>
      <w:pPr>
        <w:pStyle w:val="26"/>
      </w:pPr>
      <w:r>
        <w:t>（六）加强内部监督，确保资金安全有效。成立预算绩效监督管理工作小组，建立健全《永清县委党校内部监督制度》，不定期对项目绩效运行情况、重大支出决策、资产处置及其他重要业务事项的决策和执行进行监督，对会计资料进行内部审计，并配合做好审计、财政监督等外部监督工作，确保财政资金安全有效。</w:t>
      </w:r>
    </w:p>
    <w:p>
      <w:pPr>
        <w:pStyle w:val="26"/>
        <w:sectPr>
          <w:pgSz w:w="16840" w:h="11900" w:orient="landscape"/>
          <w:pgMar w:top="1361" w:right="1020" w:bottom="1134" w:left="1020" w:header="720" w:footer="720" w:gutter="0"/>
          <w:cols w:space="720" w:num="1"/>
        </w:sectPr>
      </w:pPr>
      <w:r>
        <w:t>（七）加强宣传培训调研，提升预算绩效管理水平。健全完善党校预算绩效管理工作日常培训学习制度，通过召开专题会议、组织业务培训等形式，让工作人员掌握理解预算绩效管理工作内容，提高业务水平。注重加强对项目资金使用的调查研究，及时发现问题和不足，及时改进。同时，强化预算绩效管理意识，做好预算绩效管理宣传，使预算绩效管理理念深入到每名工作人员当中，入心入脑，促进预算绩效管理水平进一步提升</w:t>
      </w:r>
      <w:r>
        <w:rPr>
          <w:rFonts w:hint="eastAsia"/>
        </w:rPr>
        <w:t>。</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eastAsia="仿宋_GB2312"/>
                <w:color w:val="000000"/>
                <w:kern w:val="0"/>
                <w:szCs w:val="21"/>
                <w:lang w:bidi="ar"/>
              </w:rPr>
              <w:t>开展年初预算项目</w:t>
            </w:r>
          </w:p>
        </w:tc>
        <w:tc>
          <w:tcPr>
            <w:tcW w:w="2172" w:type="dxa"/>
            <w:tcBorders>
              <w:tl2br w:val="nil"/>
              <w:tr2bl w:val="nil"/>
            </w:tcBorders>
            <w:vAlign w:val="center"/>
          </w:tcPr>
          <w:p>
            <w:pPr>
              <w:widowControl/>
              <w:adjustRightInd w:val="0"/>
              <w:snapToGrid w:val="0"/>
              <w:rPr>
                <w:rFonts w:ascii="方正书宋_GBK" w:eastAsia="方正书宋_GBK"/>
              </w:rPr>
            </w:pPr>
            <w:r>
              <w:rPr>
                <w:rFonts w:eastAsia="仿宋_GB2312"/>
                <w:color w:val="000000"/>
                <w:kern w:val="0"/>
                <w:szCs w:val="21"/>
                <w:lang w:bidi="ar"/>
              </w:rPr>
              <w:t>按完成比例计算得分</w:t>
            </w:r>
          </w:p>
        </w:tc>
        <w:tc>
          <w:tcPr>
            <w:tcW w:w="1483" w:type="dxa"/>
            <w:tcBorders>
              <w:tl2br w:val="nil"/>
              <w:tr2bl w:val="nil"/>
            </w:tcBorders>
            <w:vAlign w:val="center"/>
          </w:tcPr>
          <w:p>
            <w:pPr>
              <w:widowControl/>
              <w:adjustRightInd w:val="0"/>
              <w:snapToGrid w:val="0"/>
              <w:rPr>
                <w:rFonts w:ascii="方正书宋_GBK" w:eastAsia="方正书宋_GBK"/>
              </w:rPr>
            </w:pPr>
            <w:r>
              <w:rPr>
                <w:rFonts w:eastAsia="仿宋_GB2312"/>
                <w:color w:val="000000"/>
                <w:kern w:val="0"/>
                <w:szCs w:val="21"/>
                <w:lang w:bidi="ar"/>
              </w:rPr>
              <w:t>按照预算批复项目开展工作</w:t>
            </w:r>
          </w:p>
        </w:tc>
        <w:tc>
          <w:tcPr>
            <w:tcW w:w="54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w:t>
            </w:r>
          </w:p>
        </w:tc>
        <w:tc>
          <w:tcPr>
            <w:tcW w:w="488" w:type="dxa"/>
            <w:tcBorders>
              <w:tl2br w:val="nil"/>
              <w:tr2bl w:val="nil"/>
            </w:tcBorders>
            <w:vAlign w:val="center"/>
          </w:tcPr>
          <w:p>
            <w:pPr>
              <w:widowControl/>
              <w:spacing w:line="240" w:lineRule="exact"/>
              <w:jc w:val="center"/>
              <w:textAlignment w:val="center"/>
              <w:rPr>
                <w:rFonts w:ascii="方正书宋_GBK" w:eastAsia="方正书宋_GBK"/>
              </w:rPr>
            </w:pPr>
            <w:r>
              <w:rPr>
                <w:rFonts w:hint="eastAsia" w:eastAsia="仿宋_GB2312"/>
                <w:color w:val="000000"/>
                <w:kern w:val="0"/>
                <w:szCs w:val="21"/>
                <w:lang w:bidi="ar"/>
              </w:rPr>
              <w:t>5</w:t>
            </w:r>
          </w:p>
        </w:tc>
        <w:tc>
          <w:tcPr>
            <w:tcW w:w="57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个</w:t>
            </w:r>
          </w:p>
        </w:tc>
        <w:tc>
          <w:tcPr>
            <w:tcW w:w="127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预算批复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各项</w:t>
            </w:r>
            <w:r>
              <w:rPr>
                <w:rFonts w:hint="eastAsia" w:eastAsia="仿宋_GB2312"/>
                <w:color w:val="000000"/>
                <w:kern w:val="0"/>
                <w:szCs w:val="21"/>
                <w:lang w:bidi="ar"/>
              </w:rPr>
              <w:t>干训教研等</w:t>
            </w:r>
            <w:r>
              <w:rPr>
                <w:rFonts w:eastAsia="仿宋_GB2312"/>
                <w:color w:val="000000"/>
                <w:kern w:val="0"/>
                <w:szCs w:val="21"/>
                <w:lang w:bidi="ar"/>
              </w:rPr>
              <w:t>工作完成情况</w:t>
            </w:r>
          </w:p>
        </w:tc>
        <w:tc>
          <w:tcPr>
            <w:tcW w:w="2172" w:type="dxa"/>
            <w:tcBorders>
              <w:tl2br w:val="nil"/>
              <w:tr2bl w:val="nil"/>
            </w:tcBorders>
          </w:tcPr>
          <w:p>
            <w:pPr>
              <w:widowControl/>
              <w:spacing w:line="240" w:lineRule="exact"/>
              <w:jc w:val="center"/>
              <w:textAlignment w:val="top"/>
              <w:rPr>
                <w:rFonts w:ascii="方正书宋_GBK" w:eastAsia="方正书宋_GBK"/>
              </w:rPr>
            </w:pPr>
            <w:r>
              <w:rPr>
                <w:rFonts w:eastAsia="仿宋_GB2312"/>
                <w:szCs w:val="21"/>
              </w:rPr>
              <w:t>按完成比例计算得分</w:t>
            </w:r>
          </w:p>
        </w:tc>
        <w:tc>
          <w:tcPr>
            <w:tcW w:w="148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保质保量完成既定各项</w:t>
            </w:r>
            <w:r>
              <w:rPr>
                <w:rFonts w:hint="eastAsia" w:eastAsia="仿宋_GB2312"/>
                <w:color w:val="000000"/>
                <w:kern w:val="0"/>
                <w:szCs w:val="21"/>
                <w:lang w:bidi="ar"/>
              </w:rPr>
              <w:t>干训教研等</w:t>
            </w:r>
            <w:r>
              <w:rPr>
                <w:rFonts w:eastAsia="仿宋_GB2312"/>
                <w:color w:val="000000"/>
                <w:kern w:val="0"/>
                <w:szCs w:val="21"/>
                <w:lang w:bidi="ar"/>
              </w:rPr>
              <w:t>工作</w:t>
            </w:r>
          </w:p>
        </w:tc>
        <w:tc>
          <w:tcPr>
            <w:tcW w:w="54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文字描述</w:t>
            </w:r>
          </w:p>
        </w:tc>
        <w:tc>
          <w:tcPr>
            <w:tcW w:w="488" w:type="dxa"/>
            <w:tcBorders>
              <w:tl2br w:val="nil"/>
              <w:tr2bl w:val="nil"/>
            </w:tcBorders>
            <w:vAlign w:val="center"/>
          </w:tcPr>
          <w:p>
            <w:pPr>
              <w:spacing w:line="240" w:lineRule="exact"/>
              <w:jc w:val="center"/>
              <w:rPr>
                <w:rFonts w:ascii="方正书宋_GBK" w:eastAsia="方正书宋_GBK"/>
              </w:rPr>
            </w:pPr>
          </w:p>
        </w:tc>
        <w:tc>
          <w:tcPr>
            <w:tcW w:w="57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各项工作完成情况</w:t>
            </w:r>
          </w:p>
        </w:tc>
        <w:tc>
          <w:tcPr>
            <w:tcW w:w="127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保质保量开展各项工作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各项</w:t>
            </w:r>
            <w:r>
              <w:rPr>
                <w:rFonts w:hint="eastAsia" w:eastAsia="仿宋_GB2312"/>
                <w:color w:val="000000"/>
                <w:kern w:val="0"/>
                <w:szCs w:val="21"/>
                <w:lang w:bidi="ar"/>
              </w:rPr>
              <w:t>干训教研等</w:t>
            </w:r>
            <w:r>
              <w:rPr>
                <w:rFonts w:eastAsia="仿宋_GB2312"/>
                <w:color w:val="000000"/>
                <w:kern w:val="0"/>
                <w:szCs w:val="21"/>
                <w:lang w:bidi="ar"/>
              </w:rPr>
              <w:t>工作开展时效性</w:t>
            </w:r>
          </w:p>
        </w:tc>
        <w:tc>
          <w:tcPr>
            <w:tcW w:w="2172" w:type="dxa"/>
            <w:tcBorders>
              <w:tl2br w:val="nil"/>
              <w:tr2bl w:val="nil"/>
            </w:tcBorders>
          </w:tcPr>
          <w:p>
            <w:pPr>
              <w:widowControl/>
              <w:spacing w:line="240" w:lineRule="exact"/>
              <w:jc w:val="center"/>
              <w:textAlignment w:val="top"/>
              <w:rPr>
                <w:rFonts w:ascii="方正书宋_GBK" w:eastAsia="方正书宋_GBK"/>
              </w:rPr>
            </w:pPr>
            <w:r>
              <w:rPr>
                <w:rFonts w:eastAsia="仿宋_GB2312"/>
                <w:szCs w:val="21"/>
              </w:rPr>
              <w:t>按完成比例计算得分</w:t>
            </w:r>
          </w:p>
        </w:tc>
        <w:tc>
          <w:tcPr>
            <w:tcW w:w="148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及时按要求开展各项</w:t>
            </w:r>
            <w:r>
              <w:rPr>
                <w:rFonts w:hint="eastAsia" w:eastAsia="仿宋_GB2312"/>
                <w:color w:val="000000"/>
                <w:kern w:val="0"/>
                <w:szCs w:val="21"/>
                <w:lang w:bidi="ar"/>
              </w:rPr>
              <w:t>干训教研等</w:t>
            </w:r>
            <w:r>
              <w:rPr>
                <w:rFonts w:eastAsia="仿宋_GB2312"/>
                <w:color w:val="000000"/>
                <w:kern w:val="0"/>
                <w:szCs w:val="21"/>
                <w:lang w:bidi="ar"/>
              </w:rPr>
              <w:t>工作</w:t>
            </w:r>
          </w:p>
        </w:tc>
        <w:tc>
          <w:tcPr>
            <w:tcW w:w="54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文字描述</w:t>
            </w:r>
          </w:p>
        </w:tc>
        <w:tc>
          <w:tcPr>
            <w:tcW w:w="488" w:type="dxa"/>
            <w:tcBorders>
              <w:tl2br w:val="nil"/>
              <w:tr2bl w:val="nil"/>
            </w:tcBorders>
            <w:vAlign w:val="center"/>
          </w:tcPr>
          <w:p>
            <w:pPr>
              <w:spacing w:line="240" w:lineRule="exact"/>
              <w:jc w:val="center"/>
              <w:rPr>
                <w:rFonts w:ascii="方正书宋_GBK" w:eastAsia="方正书宋_GBK"/>
              </w:rPr>
            </w:pPr>
          </w:p>
        </w:tc>
        <w:tc>
          <w:tcPr>
            <w:tcW w:w="57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各项工作开展时效性</w:t>
            </w:r>
          </w:p>
        </w:tc>
        <w:tc>
          <w:tcPr>
            <w:tcW w:w="127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及时开展各项工作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各项</w:t>
            </w:r>
            <w:r>
              <w:rPr>
                <w:rFonts w:hint="eastAsia" w:eastAsia="仿宋_GB2312"/>
                <w:color w:val="000000"/>
                <w:kern w:val="0"/>
                <w:szCs w:val="21"/>
                <w:lang w:bidi="ar"/>
              </w:rPr>
              <w:t>干训教研等</w:t>
            </w:r>
            <w:r>
              <w:rPr>
                <w:rFonts w:eastAsia="仿宋_GB2312"/>
                <w:color w:val="000000"/>
                <w:kern w:val="0"/>
                <w:szCs w:val="21"/>
                <w:lang w:bidi="ar"/>
              </w:rPr>
              <w:t>工作成本控制</w:t>
            </w:r>
          </w:p>
        </w:tc>
        <w:tc>
          <w:tcPr>
            <w:tcW w:w="2172" w:type="dxa"/>
            <w:tcBorders>
              <w:tl2br w:val="nil"/>
              <w:tr2bl w:val="nil"/>
            </w:tcBorders>
          </w:tcPr>
          <w:p>
            <w:pPr>
              <w:widowControl/>
              <w:spacing w:line="240" w:lineRule="exact"/>
              <w:jc w:val="center"/>
              <w:textAlignment w:val="top"/>
              <w:rPr>
                <w:rFonts w:ascii="方正书宋_GBK" w:eastAsia="方正书宋_GBK"/>
              </w:rPr>
            </w:pPr>
            <w:r>
              <w:rPr>
                <w:rFonts w:eastAsia="仿宋_GB2312"/>
                <w:szCs w:val="21"/>
              </w:rPr>
              <w:t>按完成比例计算得分</w:t>
            </w:r>
          </w:p>
        </w:tc>
        <w:tc>
          <w:tcPr>
            <w:tcW w:w="148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严格控制各项工作支出，厉行节约</w:t>
            </w:r>
          </w:p>
        </w:tc>
        <w:tc>
          <w:tcPr>
            <w:tcW w:w="54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文字描述</w:t>
            </w:r>
          </w:p>
        </w:tc>
        <w:tc>
          <w:tcPr>
            <w:tcW w:w="488" w:type="dxa"/>
            <w:tcBorders>
              <w:tl2br w:val="nil"/>
              <w:tr2bl w:val="nil"/>
            </w:tcBorders>
            <w:vAlign w:val="center"/>
          </w:tcPr>
          <w:p>
            <w:pPr>
              <w:spacing w:line="240" w:lineRule="exact"/>
              <w:jc w:val="center"/>
              <w:rPr>
                <w:rFonts w:ascii="方正书宋_GBK" w:eastAsia="方正书宋_GBK"/>
              </w:rPr>
            </w:pPr>
          </w:p>
        </w:tc>
        <w:tc>
          <w:tcPr>
            <w:tcW w:w="57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各项工作支出程度</w:t>
            </w:r>
          </w:p>
        </w:tc>
        <w:tc>
          <w:tcPr>
            <w:tcW w:w="127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厉行节约控制支出成本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保障各项</w:t>
            </w:r>
            <w:r>
              <w:rPr>
                <w:rFonts w:hint="eastAsia" w:eastAsia="仿宋_GB2312"/>
                <w:color w:val="000000"/>
                <w:kern w:val="0"/>
                <w:szCs w:val="21"/>
                <w:lang w:bidi="ar"/>
              </w:rPr>
              <w:t>干训教研等</w:t>
            </w:r>
            <w:r>
              <w:rPr>
                <w:rFonts w:eastAsia="仿宋_GB2312"/>
                <w:color w:val="000000"/>
                <w:kern w:val="0"/>
                <w:szCs w:val="21"/>
                <w:lang w:bidi="ar"/>
              </w:rPr>
              <w:t>工作正常开展</w:t>
            </w:r>
          </w:p>
        </w:tc>
        <w:tc>
          <w:tcPr>
            <w:tcW w:w="2172" w:type="dxa"/>
            <w:tcBorders>
              <w:tl2br w:val="nil"/>
              <w:tr2bl w:val="nil"/>
            </w:tcBorders>
          </w:tcPr>
          <w:p>
            <w:pPr>
              <w:widowControl/>
              <w:spacing w:line="240" w:lineRule="exact"/>
              <w:jc w:val="center"/>
              <w:textAlignment w:val="top"/>
              <w:rPr>
                <w:rFonts w:ascii="方正书宋_GBK" w:eastAsia="方正书宋_GBK"/>
              </w:rPr>
            </w:pPr>
            <w:r>
              <w:rPr>
                <w:rFonts w:eastAsia="仿宋_GB2312"/>
                <w:szCs w:val="21"/>
              </w:rPr>
              <w:t>按完成比例计算得分</w:t>
            </w:r>
          </w:p>
        </w:tc>
        <w:tc>
          <w:tcPr>
            <w:tcW w:w="148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促进各项</w:t>
            </w:r>
            <w:r>
              <w:rPr>
                <w:rFonts w:hint="eastAsia" w:eastAsia="仿宋_GB2312"/>
                <w:color w:val="000000"/>
                <w:kern w:val="0"/>
                <w:szCs w:val="21"/>
                <w:lang w:bidi="ar"/>
              </w:rPr>
              <w:t>干训教研等</w:t>
            </w:r>
            <w:r>
              <w:rPr>
                <w:rFonts w:eastAsia="仿宋_GB2312"/>
                <w:color w:val="000000"/>
                <w:kern w:val="0"/>
                <w:szCs w:val="21"/>
                <w:lang w:bidi="ar"/>
              </w:rPr>
              <w:t>工作的顺利开展</w:t>
            </w:r>
          </w:p>
        </w:tc>
        <w:tc>
          <w:tcPr>
            <w:tcW w:w="54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文字描述</w:t>
            </w:r>
          </w:p>
        </w:tc>
        <w:tc>
          <w:tcPr>
            <w:tcW w:w="488" w:type="dxa"/>
            <w:tcBorders>
              <w:tl2br w:val="nil"/>
              <w:tr2bl w:val="nil"/>
            </w:tcBorders>
            <w:vAlign w:val="center"/>
          </w:tcPr>
          <w:p>
            <w:pPr>
              <w:spacing w:line="240" w:lineRule="exact"/>
              <w:jc w:val="center"/>
              <w:rPr>
                <w:rFonts w:ascii="方正书宋_GBK" w:eastAsia="方正书宋_GBK"/>
              </w:rPr>
            </w:pPr>
          </w:p>
        </w:tc>
        <w:tc>
          <w:tcPr>
            <w:tcW w:w="57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各项工作顺利开展</w:t>
            </w:r>
          </w:p>
        </w:tc>
        <w:tc>
          <w:tcPr>
            <w:tcW w:w="127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服务对象满意度指标</w:t>
            </w:r>
          </w:p>
        </w:tc>
        <w:tc>
          <w:tcPr>
            <w:tcW w:w="2172" w:type="dxa"/>
            <w:tcBorders>
              <w:tl2br w:val="nil"/>
              <w:tr2bl w:val="nil"/>
            </w:tcBorders>
          </w:tcPr>
          <w:p>
            <w:pPr>
              <w:widowControl/>
              <w:spacing w:line="240" w:lineRule="exact"/>
              <w:jc w:val="center"/>
              <w:textAlignment w:val="top"/>
              <w:rPr>
                <w:rFonts w:ascii="方正书宋_GBK" w:eastAsia="方正书宋_GBK"/>
              </w:rPr>
            </w:pPr>
            <w:r>
              <w:rPr>
                <w:rFonts w:eastAsia="仿宋_GB2312"/>
                <w:szCs w:val="21"/>
              </w:rPr>
              <w:t>按完成比例计算得分</w:t>
            </w:r>
          </w:p>
        </w:tc>
        <w:tc>
          <w:tcPr>
            <w:tcW w:w="1483" w:type="dxa"/>
            <w:tcBorders>
              <w:tl2br w:val="nil"/>
              <w:tr2bl w:val="nil"/>
            </w:tcBorders>
            <w:vAlign w:val="center"/>
          </w:tcPr>
          <w:p>
            <w:pPr>
              <w:widowControl/>
              <w:spacing w:line="240" w:lineRule="exact"/>
              <w:jc w:val="center"/>
              <w:textAlignment w:val="center"/>
              <w:rPr>
                <w:rFonts w:eastAsia="仿宋_GB2312"/>
                <w:color w:val="000000"/>
                <w:kern w:val="0"/>
                <w:szCs w:val="21"/>
                <w:lang w:bidi="ar"/>
              </w:rPr>
            </w:pPr>
            <w:r>
              <w:rPr>
                <w:rFonts w:hint="eastAsia" w:eastAsia="仿宋_GB2312"/>
                <w:color w:val="000000"/>
                <w:kern w:val="0"/>
                <w:szCs w:val="21"/>
                <w:lang w:bidi="ar"/>
              </w:rPr>
              <w:t>回访受训学员</w:t>
            </w:r>
            <w:r>
              <w:rPr>
                <w:rFonts w:eastAsia="仿宋_GB2312"/>
                <w:color w:val="000000"/>
                <w:kern w:val="0"/>
                <w:szCs w:val="21"/>
                <w:lang w:bidi="ar"/>
              </w:rPr>
              <w:t>等满意度</w:t>
            </w:r>
            <w:r>
              <w:rPr>
                <w:rFonts w:hint="eastAsia" w:eastAsia="仿宋_GB2312"/>
                <w:color w:val="000000"/>
                <w:kern w:val="0"/>
                <w:szCs w:val="21"/>
                <w:lang w:bidi="ar"/>
              </w:rPr>
              <w:t>调查</w:t>
            </w:r>
          </w:p>
        </w:tc>
        <w:tc>
          <w:tcPr>
            <w:tcW w:w="54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w:t>
            </w:r>
          </w:p>
        </w:tc>
        <w:tc>
          <w:tcPr>
            <w:tcW w:w="488"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95.00</w:t>
            </w:r>
          </w:p>
        </w:tc>
        <w:tc>
          <w:tcPr>
            <w:tcW w:w="573"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w:t>
            </w:r>
          </w:p>
        </w:tc>
        <w:tc>
          <w:tcPr>
            <w:tcW w:w="1277" w:type="dxa"/>
            <w:tcBorders>
              <w:tl2br w:val="nil"/>
              <w:tr2bl w:val="nil"/>
            </w:tcBorders>
            <w:vAlign w:val="center"/>
          </w:tcPr>
          <w:p>
            <w:pPr>
              <w:widowControl/>
              <w:spacing w:line="240" w:lineRule="exact"/>
              <w:jc w:val="center"/>
              <w:textAlignment w:val="center"/>
              <w:rPr>
                <w:rFonts w:ascii="方正书宋_GBK" w:eastAsia="方正书宋_GBK"/>
              </w:rPr>
            </w:pPr>
            <w:r>
              <w:rPr>
                <w:rFonts w:eastAsia="仿宋_GB2312"/>
                <w:color w:val="000000"/>
                <w:kern w:val="0"/>
                <w:szCs w:val="21"/>
                <w:lang w:bidi="ar"/>
              </w:rPr>
              <w:t>座谈走访调研</w:t>
            </w:r>
          </w:p>
        </w:tc>
      </w:tr>
    </w:tbl>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ind w:firstLine="560"/>
      </w:pPr>
      <w:r>
        <w:rPr>
          <w:rFonts w:ascii="方正仿宋_GBK" w:hAnsi="方正仿宋_GBK" w:eastAsia="方正仿宋_GBK" w:cs="方正仿宋_GBK"/>
          <w:b/>
          <w:color w:val="000000"/>
          <w:sz w:val="28"/>
        </w:rPr>
        <w:t>1、党校创办刊物经费绩效目标表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1.通过项目的开展实现四期理论调研季刊刊发，为县委政府领导科学决策提供智力支持和理论支撑战略，保障领导干部解放思想，开阔视野，提高工作能力水平，促进县域经济社会科学发展的实现。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创办刊物期数</w:t>
            </w:r>
          </w:p>
        </w:tc>
        <w:tc>
          <w:tcPr>
            <w:tcW w:w="2835" w:type="dxa"/>
            <w:vAlign w:val="center"/>
          </w:tcPr>
          <w:p>
            <w:pPr>
              <w:pStyle w:val="18"/>
            </w:pPr>
            <w:r>
              <w:t>创办刊物期数4期</w:t>
            </w:r>
          </w:p>
        </w:tc>
        <w:tc>
          <w:tcPr>
            <w:tcW w:w="2551" w:type="dxa"/>
            <w:vAlign w:val="center"/>
          </w:tcPr>
          <w:p>
            <w:pPr>
              <w:pStyle w:val="18"/>
            </w:pPr>
            <w:r>
              <w:t>≥4期</w:t>
            </w:r>
          </w:p>
        </w:tc>
        <w:tc>
          <w:tcPr>
            <w:tcW w:w="2268" w:type="dxa"/>
            <w:vAlign w:val="center"/>
          </w:tcPr>
          <w:p>
            <w:pPr>
              <w:pStyle w:val="18"/>
            </w:pPr>
            <w:r>
              <w:t>创办刊物期数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调研文章刊发数量</w:t>
            </w:r>
          </w:p>
          <w:p>
            <w:pPr>
              <w:pStyle w:val="18"/>
            </w:pPr>
          </w:p>
        </w:tc>
        <w:tc>
          <w:tcPr>
            <w:tcW w:w="2835" w:type="dxa"/>
            <w:vAlign w:val="center"/>
          </w:tcPr>
          <w:p>
            <w:pPr>
              <w:pStyle w:val="18"/>
            </w:pPr>
            <w:r>
              <w:t>发表调研文章8篇</w:t>
            </w:r>
          </w:p>
        </w:tc>
        <w:tc>
          <w:tcPr>
            <w:tcW w:w="2551" w:type="dxa"/>
            <w:vAlign w:val="center"/>
          </w:tcPr>
          <w:p>
            <w:pPr>
              <w:pStyle w:val="18"/>
            </w:pPr>
            <w:r>
              <w:t>≥8篇</w:t>
            </w:r>
          </w:p>
        </w:tc>
        <w:tc>
          <w:tcPr>
            <w:tcW w:w="2268" w:type="dxa"/>
            <w:vAlign w:val="center"/>
          </w:tcPr>
          <w:p>
            <w:pPr>
              <w:pStyle w:val="18"/>
            </w:pPr>
            <w:r>
              <w:t>调研文章刊发数量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调研文章合格率</w:t>
            </w:r>
          </w:p>
          <w:p>
            <w:pPr>
              <w:pStyle w:val="18"/>
            </w:pPr>
          </w:p>
        </w:tc>
        <w:tc>
          <w:tcPr>
            <w:tcW w:w="2835" w:type="dxa"/>
            <w:vAlign w:val="center"/>
          </w:tcPr>
          <w:p>
            <w:pPr>
              <w:pStyle w:val="18"/>
            </w:pPr>
            <w:r>
              <w:t>文章合格率达到100%</w:t>
            </w:r>
          </w:p>
        </w:tc>
        <w:tc>
          <w:tcPr>
            <w:tcW w:w="2551" w:type="dxa"/>
            <w:vAlign w:val="center"/>
          </w:tcPr>
          <w:p>
            <w:pPr>
              <w:pStyle w:val="18"/>
            </w:pPr>
            <w:r>
              <w:t>100百分比</w:t>
            </w:r>
          </w:p>
        </w:tc>
        <w:tc>
          <w:tcPr>
            <w:tcW w:w="2268" w:type="dxa"/>
            <w:vAlign w:val="center"/>
          </w:tcPr>
          <w:p>
            <w:pPr>
              <w:pStyle w:val="18"/>
            </w:pPr>
            <w:r>
              <w:t>调研文章合格率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刊物按期完成及时性</w:t>
            </w:r>
          </w:p>
          <w:p>
            <w:pPr>
              <w:pStyle w:val="18"/>
            </w:pPr>
          </w:p>
        </w:tc>
        <w:tc>
          <w:tcPr>
            <w:tcW w:w="2835" w:type="dxa"/>
            <w:vAlign w:val="center"/>
          </w:tcPr>
          <w:p>
            <w:pPr>
              <w:pStyle w:val="18"/>
            </w:pPr>
            <w:r>
              <w:t>按季为单位每季及时完成</w:t>
            </w:r>
          </w:p>
        </w:tc>
        <w:tc>
          <w:tcPr>
            <w:tcW w:w="2551" w:type="dxa"/>
            <w:vAlign w:val="center"/>
          </w:tcPr>
          <w:p>
            <w:pPr>
              <w:pStyle w:val="18"/>
            </w:pPr>
            <w:r>
              <w:t>按季度刊发</w:t>
            </w:r>
          </w:p>
          <w:p>
            <w:pPr>
              <w:pStyle w:val="18"/>
            </w:pPr>
          </w:p>
        </w:tc>
        <w:tc>
          <w:tcPr>
            <w:tcW w:w="2268" w:type="dxa"/>
            <w:vAlign w:val="center"/>
          </w:tcPr>
          <w:p>
            <w:pPr>
              <w:pStyle w:val="18"/>
            </w:pPr>
            <w:r>
              <w:t>刊物按期完成及时性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创办刊物经费控制在预算范围内</w:t>
            </w:r>
          </w:p>
          <w:p>
            <w:pPr>
              <w:pStyle w:val="18"/>
            </w:pPr>
          </w:p>
        </w:tc>
        <w:tc>
          <w:tcPr>
            <w:tcW w:w="2835" w:type="dxa"/>
            <w:vAlign w:val="center"/>
          </w:tcPr>
          <w:p>
            <w:pPr>
              <w:pStyle w:val="18"/>
            </w:pPr>
            <w:r>
              <w:t>成本控制在预算内</w:t>
            </w:r>
          </w:p>
        </w:tc>
        <w:tc>
          <w:tcPr>
            <w:tcW w:w="2551" w:type="dxa"/>
            <w:vAlign w:val="center"/>
          </w:tcPr>
          <w:p>
            <w:pPr>
              <w:pStyle w:val="18"/>
            </w:pPr>
            <w:r>
              <w:t>≤5万元</w:t>
            </w:r>
          </w:p>
        </w:tc>
        <w:tc>
          <w:tcPr>
            <w:tcW w:w="2268" w:type="dxa"/>
            <w:vAlign w:val="center"/>
          </w:tcPr>
          <w:p>
            <w:pPr>
              <w:pStyle w:val="18"/>
            </w:pPr>
            <w:r>
              <w:t>创办刊物经费控制在预算范围内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提升领导干部水平和能力有效性</w:t>
            </w:r>
          </w:p>
          <w:p>
            <w:pPr>
              <w:pStyle w:val="18"/>
            </w:pPr>
          </w:p>
        </w:tc>
        <w:tc>
          <w:tcPr>
            <w:tcW w:w="2835" w:type="dxa"/>
            <w:vAlign w:val="center"/>
          </w:tcPr>
          <w:p>
            <w:pPr>
              <w:pStyle w:val="18"/>
            </w:pPr>
            <w:r>
              <w:t>对社会发展带来积极影响</w:t>
            </w:r>
          </w:p>
        </w:tc>
        <w:tc>
          <w:tcPr>
            <w:tcW w:w="2551" w:type="dxa"/>
            <w:vAlign w:val="center"/>
          </w:tcPr>
          <w:p>
            <w:pPr>
              <w:pStyle w:val="18"/>
            </w:pPr>
            <w:r>
              <w:t>达成提高目标</w:t>
            </w:r>
          </w:p>
        </w:tc>
        <w:tc>
          <w:tcPr>
            <w:tcW w:w="2268" w:type="dxa"/>
            <w:vAlign w:val="center"/>
          </w:tcPr>
          <w:p>
            <w:pPr>
              <w:pStyle w:val="18"/>
            </w:pPr>
            <w:r>
              <w:t>提升领导干部水平和能力有效性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为领导决策持续提供理论支持</w:t>
            </w:r>
          </w:p>
          <w:p>
            <w:pPr>
              <w:pStyle w:val="18"/>
            </w:pPr>
          </w:p>
        </w:tc>
        <w:tc>
          <w:tcPr>
            <w:tcW w:w="2835" w:type="dxa"/>
            <w:vAlign w:val="center"/>
          </w:tcPr>
          <w:p>
            <w:pPr>
              <w:pStyle w:val="18"/>
            </w:pPr>
            <w:r>
              <w:t>对提高领导决策有可持续性影响</w:t>
            </w:r>
          </w:p>
          <w:p>
            <w:pPr>
              <w:pStyle w:val="18"/>
            </w:pPr>
          </w:p>
        </w:tc>
        <w:tc>
          <w:tcPr>
            <w:tcW w:w="2551" w:type="dxa"/>
            <w:vAlign w:val="center"/>
          </w:tcPr>
          <w:p>
            <w:pPr>
              <w:pStyle w:val="18"/>
            </w:pPr>
            <w:r>
              <w:t>达成可持续目标</w:t>
            </w:r>
          </w:p>
        </w:tc>
        <w:tc>
          <w:tcPr>
            <w:tcW w:w="2268" w:type="dxa"/>
            <w:vAlign w:val="center"/>
          </w:tcPr>
          <w:p>
            <w:pPr>
              <w:pStyle w:val="18"/>
            </w:pPr>
            <w:r>
              <w:t>为领导决策持续提供理论支持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刊物服务对象满意度</w:t>
            </w:r>
          </w:p>
          <w:p>
            <w:pPr>
              <w:pStyle w:val="18"/>
            </w:pPr>
          </w:p>
        </w:tc>
        <w:tc>
          <w:tcPr>
            <w:tcW w:w="2835" w:type="dxa"/>
            <w:vAlign w:val="center"/>
          </w:tcPr>
          <w:p>
            <w:pPr>
              <w:pStyle w:val="18"/>
            </w:pPr>
            <w:r>
              <w:t>回访服务对象满意度</w:t>
            </w:r>
          </w:p>
        </w:tc>
        <w:tc>
          <w:tcPr>
            <w:tcW w:w="2551" w:type="dxa"/>
            <w:vAlign w:val="center"/>
          </w:tcPr>
          <w:p>
            <w:pPr>
              <w:pStyle w:val="18"/>
            </w:pPr>
            <w:r>
              <w:t>≥90百分比</w:t>
            </w:r>
          </w:p>
        </w:tc>
        <w:tc>
          <w:tcPr>
            <w:tcW w:w="2268" w:type="dxa"/>
            <w:vAlign w:val="center"/>
          </w:tcPr>
          <w:p>
            <w:pPr>
              <w:pStyle w:val="18"/>
            </w:pPr>
            <w:r>
              <w:t>刊物服务对象满意度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2、党校村街（社区）党组织书记和基层党员干部进修班经费绩效目标表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通过项目的开展实现对农村（社区）党组织书记和基层党员干部党性教育、党的政策理论宣传等战略，保障党员干部理论政策水平得到提高、发展思想得到解放、科学发展能力得到增强，为建设临空新城绿色永清打造理想信念坚定、高素质高水平的干部队伍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培训参加人次</w:t>
            </w:r>
          </w:p>
        </w:tc>
        <w:tc>
          <w:tcPr>
            <w:tcW w:w="2835" w:type="dxa"/>
            <w:vAlign w:val="center"/>
          </w:tcPr>
          <w:p>
            <w:pPr>
              <w:pStyle w:val="18"/>
            </w:pPr>
            <w:r>
              <w:t>按照培训参加人数，达到600人预期目标满分</w:t>
            </w:r>
          </w:p>
        </w:tc>
        <w:tc>
          <w:tcPr>
            <w:tcW w:w="2551" w:type="dxa"/>
            <w:vAlign w:val="center"/>
          </w:tcPr>
          <w:p>
            <w:pPr>
              <w:pStyle w:val="18"/>
            </w:pPr>
            <w:r>
              <w:t>≥600人</w:t>
            </w:r>
          </w:p>
        </w:tc>
        <w:tc>
          <w:tcPr>
            <w:tcW w:w="2268" w:type="dxa"/>
            <w:vAlign w:val="center"/>
          </w:tcPr>
          <w:p>
            <w:pPr>
              <w:pStyle w:val="18"/>
            </w:pPr>
            <w:r>
              <w:t>培训参加人次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培训覆盖率（%）</w:t>
            </w:r>
          </w:p>
        </w:tc>
        <w:tc>
          <w:tcPr>
            <w:tcW w:w="2835" w:type="dxa"/>
            <w:vAlign w:val="center"/>
          </w:tcPr>
          <w:p>
            <w:pPr>
              <w:pStyle w:val="18"/>
            </w:pPr>
            <w:r>
              <w:t>培训人员占比覆盖率</w:t>
            </w:r>
          </w:p>
        </w:tc>
        <w:tc>
          <w:tcPr>
            <w:tcW w:w="2551" w:type="dxa"/>
            <w:vAlign w:val="center"/>
          </w:tcPr>
          <w:p>
            <w:pPr>
              <w:pStyle w:val="18"/>
            </w:pPr>
            <w:r>
              <w:t>100百分比</w:t>
            </w:r>
          </w:p>
        </w:tc>
        <w:tc>
          <w:tcPr>
            <w:tcW w:w="2268" w:type="dxa"/>
            <w:vAlign w:val="center"/>
          </w:tcPr>
          <w:p>
            <w:pPr>
              <w:pStyle w:val="18"/>
            </w:pPr>
            <w:r>
              <w:t>培训覆盖率（%）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培训按期完成及时性</w:t>
            </w:r>
          </w:p>
        </w:tc>
        <w:tc>
          <w:tcPr>
            <w:tcW w:w="2835" w:type="dxa"/>
            <w:vAlign w:val="center"/>
          </w:tcPr>
          <w:p>
            <w:pPr>
              <w:pStyle w:val="18"/>
            </w:pPr>
            <w:r>
              <w:t>在规定时间内及时完成</w:t>
            </w:r>
          </w:p>
        </w:tc>
        <w:tc>
          <w:tcPr>
            <w:tcW w:w="2551" w:type="dxa"/>
            <w:vAlign w:val="center"/>
          </w:tcPr>
          <w:p>
            <w:pPr>
              <w:pStyle w:val="18"/>
            </w:pPr>
            <w:r>
              <w:t>按计划完成</w:t>
            </w:r>
          </w:p>
        </w:tc>
        <w:tc>
          <w:tcPr>
            <w:tcW w:w="2268" w:type="dxa"/>
            <w:vAlign w:val="center"/>
          </w:tcPr>
          <w:p>
            <w:pPr>
              <w:pStyle w:val="18"/>
            </w:pPr>
            <w:r>
              <w:t>培训按期完成及时性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干部培训经费成本控制</w:t>
            </w:r>
          </w:p>
        </w:tc>
        <w:tc>
          <w:tcPr>
            <w:tcW w:w="2835" w:type="dxa"/>
            <w:vAlign w:val="center"/>
          </w:tcPr>
          <w:p>
            <w:pPr>
              <w:pStyle w:val="18"/>
            </w:pPr>
            <w:r>
              <w:t>支出控制在预算范围内（5万元）</w:t>
            </w:r>
          </w:p>
        </w:tc>
        <w:tc>
          <w:tcPr>
            <w:tcW w:w="2551" w:type="dxa"/>
            <w:vAlign w:val="center"/>
          </w:tcPr>
          <w:p>
            <w:pPr>
              <w:pStyle w:val="18"/>
            </w:pPr>
            <w:r>
              <w:t>5万元</w:t>
            </w:r>
          </w:p>
        </w:tc>
        <w:tc>
          <w:tcPr>
            <w:tcW w:w="2268" w:type="dxa"/>
            <w:vAlign w:val="center"/>
          </w:tcPr>
          <w:p>
            <w:pPr>
              <w:pStyle w:val="18"/>
            </w:pPr>
            <w:r>
              <w:t>干部培训经费成本控制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提高干部理论素养和能力有效性</w:t>
            </w:r>
          </w:p>
        </w:tc>
        <w:tc>
          <w:tcPr>
            <w:tcW w:w="2835" w:type="dxa"/>
            <w:vAlign w:val="center"/>
          </w:tcPr>
          <w:p>
            <w:pPr>
              <w:pStyle w:val="18"/>
            </w:pPr>
            <w:r>
              <w:t>对社会发展带来积极影响得满分；对社会发展有一定的影响得权重分的百分之六十；对社会发展未产生积极影响不得分。</w:t>
            </w:r>
          </w:p>
        </w:tc>
        <w:tc>
          <w:tcPr>
            <w:tcW w:w="2551" w:type="dxa"/>
            <w:vAlign w:val="center"/>
          </w:tcPr>
          <w:p>
            <w:pPr>
              <w:pStyle w:val="18"/>
            </w:pPr>
            <w:r>
              <w:t>达成提高目标</w:t>
            </w:r>
          </w:p>
        </w:tc>
        <w:tc>
          <w:tcPr>
            <w:tcW w:w="2268" w:type="dxa"/>
            <w:vAlign w:val="center"/>
          </w:tcPr>
          <w:p>
            <w:pPr>
              <w:pStyle w:val="18"/>
            </w:pPr>
            <w:r>
              <w:t>提高干部理论素养和能力有效性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持续提高党员干部党性修养和能力</w:t>
            </w:r>
          </w:p>
        </w:tc>
        <w:tc>
          <w:tcPr>
            <w:tcW w:w="2835" w:type="dxa"/>
            <w:vAlign w:val="center"/>
          </w:tcPr>
          <w:p>
            <w:pPr>
              <w:pStyle w:val="18"/>
            </w:pPr>
            <w:r>
              <w:t>对提高领导决策有可持续性影响得满分；有一定的可持续性影响则得百分之六十的权重分；没有可持续性影响则不得分。</w:t>
            </w:r>
          </w:p>
        </w:tc>
        <w:tc>
          <w:tcPr>
            <w:tcW w:w="2551" w:type="dxa"/>
            <w:vAlign w:val="center"/>
          </w:tcPr>
          <w:p>
            <w:pPr>
              <w:pStyle w:val="18"/>
            </w:pPr>
            <w:r>
              <w:t>达成可持续目标</w:t>
            </w:r>
          </w:p>
        </w:tc>
        <w:tc>
          <w:tcPr>
            <w:tcW w:w="2268" w:type="dxa"/>
            <w:vAlign w:val="center"/>
          </w:tcPr>
          <w:p>
            <w:pPr>
              <w:pStyle w:val="18"/>
            </w:pPr>
            <w:r>
              <w:t>持续提高党员干部党性修养和能力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受训学员满意度（%</w:t>
            </w:r>
          </w:p>
        </w:tc>
        <w:tc>
          <w:tcPr>
            <w:tcW w:w="2835" w:type="dxa"/>
            <w:vAlign w:val="center"/>
          </w:tcPr>
          <w:p>
            <w:pPr>
              <w:pStyle w:val="18"/>
            </w:pPr>
            <w:r>
              <w:t>回访满意度达到90％的为满分，每下降1个百分点扣百分之五的权重分。</w:t>
            </w:r>
          </w:p>
        </w:tc>
        <w:tc>
          <w:tcPr>
            <w:tcW w:w="2551" w:type="dxa"/>
            <w:vAlign w:val="center"/>
          </w:tcPr>
          <w:p>
            <w:pPr>
              <w:pStyle w:val="18"/>
            </w:pPr>
            <w:r>
              <w:t>≥90百分比</w:t>
            </w:r>
          </w:p>
        </w:tc>
        <w:tc>
          <w:tcPr>
            <w:tcW w:w="2268" w:type="dxa"/>
            <w:vAlign w:val="center"/>
          </w:tcPr>
          <w:p>
            <w:pPr>
              <w:pStyle w:val="18"/>
            </w:pPr>
            <w:r>
              <w:t>受训学员满意度（%</w:t>
            </w:r>
          </w:p>
        </w:tc>
      </w:tr>
    </w:tbl>
    <w:p>
      <w:r>
        <w:rPr>
          <w:rFonts w:hint="eastAsia"/>
        </w:rPr>
        <w:t xml:space="preserve">    </w:t>
      </w:r>
    </w:p>
    <w:p/>
    <w:p>
      <w:pPr>
        <w:ind w:firstLine="560"/>
      </w:pPr>
      <w:r>
        <w:rPr>
          <w:rFonts w:ascii="方正仿宋_GBK" w:hAnsi="方正仿宋_GBK" w:eastAsia="方正仿宋_GBK" w:cs="方正仿宋_GBK"/>
          <w:b/>
          <w:color w:val="000000"/>
          <w:sz w:val="28"/>
        </w:rPr>
        <w:t>3、党校科研协作经费绩效目标表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实现加强县级党校建设，贯彻落实省委组织部、省委党校关于印发《河北省市县党校（行政学院）办学质量评估办法（试行）&gt;的通知》和《中共河北省委党校（河北行政学院）关于申报年度河北省委党校（河北行政学院）系统科研协作项目的通知》工作要求，保障党校建设符合省委要求，进一步提升我县党校科研水平，为县委、县政府献言建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665"/>
        <w:gridCol w:w="300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665" w:type="dxa"/>
            <w:vAlign w:val="center"/>
          </w:tcPr>
          <w:p>
            <w:pPr>
              <w:pStyle w:val="16"/>
            </w:pPr>
            <w:r>
              <w:t>三级指标</w:t>
            </w:r>
          </w:p>
        </w:tc>
        <w:tc>
          <w:tcPr>
            <w:tcW w:w="300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665" w:type="dxa"/>
            <w:vAlign w:val="center"/>
          </w:tcPr>
          <w:p>
            <w:pPr>
              <w:pStyle w:val="18"/>
            </w:pPr>
            <w:r>
              <w:t>科研课题数量</w:t>
            </w:r>
          </w:p>
        </w:tc>
        <w:tc>
          <w:tcPr>
            <w:tcW w:w="3005" w:type="dxa"/>
            <w:vAlign w:val="center"/>
          </w:tcPr>
          <w:p>
            <w:pPr>
              <w:pStyle w:val="18"/>
            </w:pPr>
            <w:r>
              <w:t>题研究数量达到4个预期目标</w:t>
            </w:r>
          </w:p>
        </w:tc>
        <w:tc>
          <w:tcPr>
            <w:tcW w:w="2551" w:type="dxa"/>
            <w:vAlign w:val="center"/>
          </w:tcPr>
          <w:p>
            <w:pPr>
              <w:pStyle w:val="18"/>
            </w:pPr>
            <w:r>
              <w:t>4个</w:t>
            </w:r>
          </w:p>
        </w:tc>
        <w:tc>
          <w:tcPr>
            <w:tcW w:w="2268" w:type="dxa"/>
            <w:vAlign w:val="center"/>
          </w:tcPr>
          <w:p>
            <w:pPr>
              <w:pStyle w:val="18"/>
            </w:pPr>
            <w:r>
              <w:t>科研课题数量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665" w:type="dxa"/>
            <w:vAlign w:val="center"/>
          </w:tcPr>
          <w:p>
            <w:pPr>
              <w:pStyle w:val="18"/>
            </w:pPr>
            <w:r>
              <w:t>咨政报告数量</w:t>
            </w:r>
          </w:p>
        </w:tc>
        <w:tc>
          <w:tcPr>
            <w:tcW w:w="3005" w:type="dxa"/>
            <w:vAlign w:val="center"/>
          </w:tcPr>
          <w:p>
            <w:pPr>
              <w:pStyle w:val="18"/>
            </w:pPr>
            <w:r>
              <w:t>咨政报告数量达到4篇预期目标</w:t>
            </w:r>
          </w:p>
        </w:tc>
        <w:tc>
          <w:tcPr>
            <w:tcW w:w="2551" w:type="dxa"/>
            <w:vAlign w:val="center"/>
          </w:tcPr>
          <w:p>
            <w:pPr>
              <w:pStyle w:val="18"/>
            </w:pPr>
            <w:r>
              <w:t>4篇</w:t>
            </w:r>
          </w:p>
        </w:tc>
        <w:tc>
          <w:tcPr>
            <w:tcW w:w="2268" w:type="dxa"/>
            <w:vAlign w:val="center"/>
          </w:tcPr>
          <w:p>
            <w:pPr>
              <w:pStyle w:val="18"/>
            </w:pPr>
            <w:r>
              <w:t>咨政报告数量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665" w:type="dxa"/>
            <w:vAlign w:val="center"/>
          </w:tcPr>
          <w:p>
            <w:pPr>
              <w:pStyle w:val="18"/>
            </w:pPr>
            <w:r>
              <w:t>学术论文数量</w:t>
            </w:r>
          </w:p>
        </w:tc>
        <w:tc>
          <w:tcPr>
            <w:tcW w:w="3005" w:type="dxa"/>
            <w:vAlign w:val="center"/>
          </w:tcPr>
          <w:p>
            <w:pPr>
              <w:pStyle w:val="18"/>
            </w:pPr>
            <w:r>
              <w:t>学术论文数量达到4篇预期目标</w:t>
            </w:r>
          </w:p>
        </w:tc>
        <w:tc>
          <w:tcPr>
            <w:tcW w:w="2551" w:type="dxa"/>
            <w:vAlign w:val="center"/>
          </w:tcPr>
          <w:p>
            <w:pPr>
              <w:pStyle w:val="18"/>
            </w:pPr>
            <w:r>
              <w:t>4篇</w:t>
            </w:r>
          </w:p>
        </w:tc>
        <w:tc>
          <w:tcPr>
            <w:tcW w:w="2268" w:type="dxa"/>
            <w:vAlign w:val="center"/>
          </w:tcPr>
          <w:p>
            <w:pPr>
              <w:pStyle w:val="18"/>
            </w:pPr>
            <w:r>
              <w:t>学术论文数量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665" w:type="dxa"/>
            <w:vAlign w:val="center"/>
          </w:tcPr>
          <w:p>
            <w:pPr>
              <w:pStyle w:val="18"/>
            </w:pPr>
            <w:r>
              <w:t>验收合格率（%）</w:t>
            </w:r>
          </w:p>
        </w:tc>
        <w:tc>
          <w:tcPr>
            <w:tcW w:w="3005" w:type="dxa"/>
            <w:vAlign w:val="center"/>
          </w:tcPr>
          <w:p>
            <w:pPr>
              <w:pStyle w:val="18"/>
            </w:pPr>
            <w:r>
              <w:t>科研协作完成率达到预期目标</w:t>
            </w:r>
          </w:p>
        </w:tc>
        <w:tc>
          <w:tcPr>
            <w:tcW w:w="2551" w:type="dxa"/>
            <w:vAlign w:val="center"/>
          </w:tcPr>
          <w:p>
            <w:pPr>
              <w:pStyle w:val="18"/>
            </w:pPr>
            <w:r>
              <w:t>100百分比</w:t>
            </w:r>
          </w:p>
        </w:tc>
        <w:tc>
          <w:tcPr>
            <w:tcW w:w="2268" w:type="dxa"/>
            <w:vAlign w:val="center"/>
          </w:tcPr>
          <w:p>
            <w:pPr>
              <w:pStyle w:val="1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665" w:type="dxa"/>
            <w:vAlign w:val="center"/>
          </w:tcPr>
          <w:p>
            <w:pPr>
              <w:pStyle w:val="18"/>
            </w:pPr>
            <w:r>
              <w:t>项目完成及时性</w:t>
            </w:r>
          </w:p>
        </w:tc>
        <w:tc>
          <w:tcPr>
            <w:tcW w:w="3005" w:type="dxa"/>
            <w:vAlign w:val="center"/>
          </w:tcPr>
          <w:p>
            <w:pPr>
              <w:pStyle w:val="18"/>
            </w:pPr>
            <w:r>
              <w:t>规定时间内（12月底）完成</w:t>
            </w:r>
          </w:p>
        </w:tc>
        <w:tc>
          <w:tcPr>
            <w:tcW w:w="2551" w:type="dxa"/>
            <w:vAlign w:val="center"/>
          </w:tcPr>
          <w:p>
            <w:pPr>
              <w:pStyle w:val="18"/>
            </w:pPr>
            <w:r>
              <w:t>12月底前</w:t>
            </w:r>
          </w:p>
        </w:tc>
        <w:tc>
          <w:tcPr>
            <w:tcW w:w="2268" w:type="dxa"/>
            <w:vAlign w:val="center"/>
          </w:tcPr>
          <w:p>
            <w:pPr>
              <w:pStyle w:val="18"/>
            </w:pPr>
            <w:r>
              <w:t>项目完成及时性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665" w:type="dxa"/>
            <w:vAlign w:val="center"/>
          </w:tcPr>
          <w:p>
            <w:pPr>
              <w:pStyle w:val="18"/>
            </w:pPr>
            <w:r>
              <w:t>党校科研协作资金成本控制</w:t>
            </w:r>
          </w:p>
        </w:tc>
        <w:tc>
          <w:tcPr>
            <w:tcW w:w="3005" w:type="dxa"/>
            <w:vAlign w:val="center"/>
          </w:tcPr>
          <w:p>
            <w:pPr>
              <w:pStyle w:val="18"/>
            </w:pPr>
            <w:r>
              <w:t>控制在预算范围内</w:t>
            </w:r>
          </w:p>
        </w:tc>
        <w:tc>
          <w:tcPr>
            <w:tcW w:w="2551" w:type="dxa"/>
            <w:vAlign w:val="center"/>
          </w:tcPr>
          <w:p>
            <w:pPr>
              <w:pStyle w:val="18"/>
            </w:pPr>
            <w:r>
              <w:t>≤1万元</w:t>
            </w:r>
          </w:p>
        </w:tc>
        <w:tc>
          <w:tcPr>
            <w:tcW w:w="2268" w:type="dxa"/>
            <w:vAlign w:val="center"/>
          </w:tcPr>
          <w:p>
            <w:pPr>
              <w:pStyle w:val="18"/>
            </w:pPr>
            <w:r>
              <w:t>党校科研协作资金成本控制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665" w:type="dxa"/>
            <w:vAlign w:val="center"/>
          </w:tcPr>
          <w:p>
            <w:pPr>
              <w:pStyle w:val="18"/>
            </w:pPr>
            <w:r>
              <w:t>提高教师科研水平有效性</w:t>
            </w:r>
          </w:p>
        </w:tc>
        <w:tc>
          <w:tcPr>
            <w:tcW w:w="3005" w:type="dxa"/>
            <w:vAlign w:val="center"/>
          </w:tcPr>
          <w:p>
            <w:pPr>
              <w:pStyle w:val="18"/>
              <w:rPr>
                <w:sz w:val="18"/>
                <w:szCs w:val="18"/>
              </w:rPr>
            </w:pPr>
            <w:r>
              <w:rPr>
                <w:sz w:val="18"/>
                <w:szCs w:val="18"/>
              </w:rPr>
              <w:t>对社会发展带来积极影响得满分；对社会发展有一定的影响得权重分的百分之六十；对社会发展未产生积极影响不得分。</w:t>
            </w:r>
          </w:p>
        </w:tc>
        <w:tc>
          <w:tcPr>
            <w:tcW w:w="2551" w:type="dxa"/>
            <w:vAlign w:val="center"/>
          </w:tcPr>
          <w:p>
            <w:pPr>
              <w:pStyle w:val="18"/>
            </w:pPr>
            <w:r>
              <w:t>达成提高目标</w:t>
            </w:r>
          </w:p>
        </w:tc>
        <w:tc>
          <w:tcPr>
            <w:tcW w:w="2268" w:type="dxa"/>
            <w:vAlign w:val="center"/>
          </w:tcPr>
          <w:p>
            <w:pPr>
              <w:pStyle w:val="18"/>
            </w:pPr>
            <w:r>
              <w:t>提高教师科研水平有效性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665" w:type="dxa"/>
            <w:vAlign w:val="center"/>
          </w:tcPr>
          <w:p>
            <w:pPr>
              <w:pStyle w:val="18"/>
            </w:pPr>
            <w:r>
              <w:t>持续提高科研水平和能力</w:t>
            </w:r>
          </w:p>
        </w:tc>
        <w:tc>
          <w:tcPr>
            <w:tcW w:w="3005" w:type="dxa"/>
            <w:vAlign w:val="center"/>
          </w:tcPr>
          <w:p>
            <w:pPr>
              <w:pStyle w:val="18"/>
              <w:rPr>
                <w:sz w:val="18"/>
                <w:szCs w:val="18"/>
              </w:rPr>
            </w:pPr>
            <w:r>
              <w:rPr>
                <w:sz w:val="18"/>
                <w:szCs w:val="18"/>
              </w:rPr>
              <w:t>对提高干部党性鞥能力有可持续性影响得满分；有一定的可持续性影响则得百分之六十的权重分；没有可持续性影响则不得分。</w:t>
            </w:r>
          </w:p>
        </w:tc>
        <w:tc>
          <w:tcPr>
            <w:tcW w:w="2551" w:type="dxa"/>
            <w:vAlign w:val="center"/>
          </w:tcPr>
          <w:p>
            <w:pPr>
              <w:pStyle w:val="18"/>
            </w:pPr>
            <w:r>
              <w:t>达成可持续目标</w:t>
            </w:r>
          </w:p>
        </w:tc>
        <w:tc>
          <w:tcPr>
            <w:tcW w:w="2268" w:type="dxa"/>
            <w:vAlign w:val="center"/>
          </w:tcPr>
          <w:p>
            <w:pPr>
              <w:pStyle w:val="18"/>
            </w:pPr>
            <w:r>
              <w:t>持续提高科研水平和能力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665" w:type="dxa"/>
            <w:vAlign w:val="center"/>
          </w:tcPr>
          <w:p>
            <w:pPr>
              <w:pStyle w:val="18"/>
            </w:pPr>
            <w:r>
              <w:t>服务对象满意度</w:t>
            </w:r>
          </w:p>
        </w:tc>
        <w:tc>
          <w:tcPr>
            <w:tcW w:w="3005" w:type="dxa"/>
            <w:vAlign w:val="center"/>
          </w:tcPr>
          <w:p>
            <w:pPr>
              <w:pStyle w:val="18"/>
              <w:rPr>
                <w:sz w:val="18"/>
                <w:szCs w:val="18"/>
              </w:rPr>
            </w:pPr>
            <w:r>
              <w:rPr>
                <w:sz w:val="18"/>
                <w:szCs w:val="18"/>
              </w:rPr>
              <w:t>回访满意度达到90％的为满分，每下降1个百分点扣百分之五的权重分。</w:t>
            </w:r>
          </w:p>
        </w:tc>
        <w:tc>
          <w:tcPr>
            <w:tcW w:w="2551" w:type="dxa"/>
            <w:vAlign w:val="center"/>
          </w:tcPr>
          <w:p>
            <w:pPr>
              <w:pStyle w:val="18"/>
            </w:pPr>
            <w:r>
              <w:t>≥90百分比</w:t>
            </w:r>
          </w:p>
        </w:tc>
        <w:tc>
          <w:tcPr>
            <w:tcW w:w="2268" w:type="dxa"/>
            <w:vAlign w:val="center"/>
          </w:tcPr>
          <w:p>
            <w:pPr>
              <w:pStyle w:val="18"/>
            </w:pPr>
            <w:r>
              <w:t>服务对象满意度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b/>
          <w:color w:val="000000"/>
          <w:sz w:val="28"/>
        </w:rPr>
        <w:t>4</w:t>
      </w:r>
      <w:r>
        <w:rPr>
          <w:rFonts w:ascii="方正仿宋_GBK" w:hAnsi="方正仿宋_GBK" w:eastAsia="方正仿宋_GBK" w:cs="方正仿宋_GBK"/>
          <w:b/>
          <w:color w:val="000000"/>
          <w:sz w:val="28"/>
        </w:rPr>
        <w:t>、党校四个二十工程建设资金经费绩效目标表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lang w:eastAsia="zh-CN"/>
              </w:rPr>
            </w:pPr>
            <w:r>
              <w:t>1.完成打造二门精品课</w:t>
            </w:r>
            <w:r>
              <w:rPr>
                <w:rFonts w:hint="eastAsia" w:eastAsiaTheme="minorEastAsia"/>
                <w:lang w:eastAsia="zh-CN"/>
              </w:rPr>
              <w:t>；</w:t>
            </w:r>
            <w:r>
              <w:t>2.编写二个教学案例</w:t>
            </w:r>
            <w:r>
              <w:rPr>
                <w:rFonts w:hint="eastAsia"/>
                <w:lang w:eastAsia="zh-CN"/>
              </w:rPr>
              <w:t>；</w:t>
            </w:r>
            <w:r>
              <w:t>3.推荐三名优秀教师</w:t>
            </w:r>
            <w:r>
              <w:rPr>
                <w:rFonts w:hint="eastAsia"/>
                <w:lang w:eastAsia="zh-CN"/>
              </w:rPr>
              <w:t>；</w:t>
            </w:r>
            <w:r>
              <w:t>4.打造现场教学点二个</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093"/>
        <w:gridCol w:w="2835"/>
        <w:gridCol w:w="3010"/>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1417" w:type="dxa"/>
            <w:vAlign w:val="center"/>
          </w:tcPr>
          <w:p>
            <w:pPr>
              <w:pStyle w:val="16"/>
            </w:pPr>
            <w:r>
              <w:t>一级指标</w:t>
            </w:r>
          </w:p>
        </w:tc>
        <w:tc>
          <w:tcPr>
            <w:tcW w:w="2093" w:type="dxa"/>
            <w:vAlign w:val="center"/>
          </w:tcPr>
          <w:p>
            <w:pPr>
              <w:pStyle w:val="16"/>
            </w:pPr>
            <w:r>
              <w:t>二级指标</w:t>
            </w:r>
          </w:p>
        </w:tc>
        <w:tc>
          <w:tcPr>
            <w:tcW w:w="2835" w:type="dxa"/>
            <w:vAlign w:val="center"/>
          </w:tcPr>
          <w:p>
            <w:pPr>
              <w:pStyle w:val="16"/>
            </w:pPr>
            <w:r>
              <w:t>三级指标</w:t>
            </w:r>
          </w:p>
        </w:tc>
        <w:tc>
          <w:tcPr>
            <w:tcW w:w="3010"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093" w:type="dxa"/>
            <w:vAlign w:val="center"/>
          </w:tcPr>
          <w:p>
            <w:pPr>
              <w:pStyle w:val="18"/>
            </w:pPr>
            <w:r>
              <w:t>数量指标</w:t>
            </w:r>
          </w:p>
        </w:tc>
        <w:tc>
          <w:tcPr>
            <w:tcW w:w="2835" w:type="dxa"/>
            <w:vAlign w:val="center"/>
          </w:tcPr>
          <w:p>
            <w:pPr>
              <w:pStyle w:val="18"/>
            </w:pPr>
            <w:r>
              <w:t>精品课数量</w:t>
            </w:r>
          </w:p>
        </w:tc>
        <w:tc>
          <w:tcPr>
            <w:tcW w:w="3010" w:type="dxa"/>
            <w:vAlign w:val="center"/>
          </w:tcPr>
          <w:p>
            <w:pPr>
              <w:pStyle w:val="18"/>
            </w:pPr>
            <w:r>
              <w:t>打造精品课的数量</w:t>
            </w:r>
          </w:p>
        </w:tc>
        <w:tc>
          <w:tcPr>
            <w:tcW w:w="2551" w:type="dxa"/>
            <w:vAlign w:val="center"/>
          </w:tcPr>
          <w:p>
            <w:pPr>
              <w:pStyle w:val="18"/>
            </w:pPr>
            <w:r>
              <w:t>2个</w:t>
            </w:r>
          </w:p>
        </w:tc>
        <w:tc>
          <w:tcPr>
            <w:tcW w:w="2268" w:type="dxa"/>
            <w:vAlign w:val="center"/>
          </w:tcPr>
          <w:p>
            <w:pPr>
              <w:pStyle w:val="18"/>
            </w:pPr>
            <w:r>
              <w:t>精品课数量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数量指标</w:t>
            </w:r>
          </w:p>
        </w:tc>
        <w:tc>
          <w:tcPr>
            <w:tcW w:w="2835" w:type="dxa"/>
            <w:vAlign w:val="center"/>
          </w:tcPr>
          <w:p>
            <w:pPr>
              <w:pStyle w:val="18"/>
            </w:pPr>
            <w:r>
              <w:t>教学案例数量</w:t>
            </w:r>
          </w:p>
        </w:tc>
        <w:tc>
          <w:tcPr>
            <w:tcW w:w="3010" w:type="dxa"/>
            <w:vAlign w:val="center"/>
          </w:tcPr>
          <w:p>
            <w:pPr>
              <w:pStyle w:val="18"/>
            </w:pPr>
            <w:r>
              <w:t>编写优秀教学案例的数量</w:t>
            </w:r>
          </w:p>
        </w:tc>
        <w:tc>
          <w:tcPr>
            <w:tcW w:w="2551" w:type="dxa"/>
            <w:vAlign w:val="center"/>
          </w:tcPr>
          <w:p>
            <w:pPr>
              <w:pStyle w:val="18"/>
            </w:pPr>
            <w:r>
              <w:t>2个</w:t>
            </w:r>
          </w:p>
        </w:tc>
        <w:tc>
          <w:tcPr>
            <w:tcW w:w="2268" w:type="dxa"/>
            <w:vAlign w:val="center"/>
          </w:tcPr>
          <w:p>
            <w:pPr>
              <w:pStyle w:val="18"/>
            </w:pPr>
            <w:r>
              <w:t>教学案例数量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数量指标</w:t>
            </w:r>
          </w:p>
        </w:tc>
        <w:tc>
          <w:tcPr>
            <w:tcW w:w="2835" w:type="dxa"/>
            <w:vAlign w:val="center"/>
          </w:tcPr>
          <w:p>
            <w:pPr>
              <w:pStyle w:val="18"/>
            </w:pPr>
            <w:r>
              <w:t>优秀教师数量</w:t>
            </w:r>
          </w:p>
        </w:tc>
        <w:tc>
          <w:tcPr>
            <w:tcW w:w="3010" w:type="dxa"/>
            <w:vAlign w:val="center"/>
          </w:tcPr>
          <w:p>
            <w:pPr>
              <w:pStyle w:val="18"/>
            </w:pPr>
            <w:r>
              <w:t>推荐优秀教师的数量</w:t>
            </w:r>
          </w:p>
        </w:tc>
        <w:tc>
          <w:tcPr>
            <w:tcW w:w="2551" w:type="dxa"/>
            <w:vAlign w:val="center"/>
          </w:tcPr>
          <w:p>
            <w:pPr>
              <w:pStyle w:val="18"/>
            </w:pPr>
            <w:r>
              <w:t>3名</w:t>
            </w:r>
          </w:p>
        </w:tc>
        <w:tc>
          <w:tcPr>
            <w:tcW w:w="2268" w:type="dxa"/>
            <w:vAlign w:val="center"/>
          </w:tcPr>
          <w:p>
            <w:pPr>
              <w:pStyle w:val="18"/>
            </w:pPr>
            <w:r>
              <w:t>优秀教师数量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数量指标</w:t>
            </w:r>
          </w:p>
        </w:tc>
        <w:tc>
          <w:tcPr>
            <w:tcW w:w="2835" w:type="dxa"/>
            <w:vAlign w:val="center"/>
          </w:tcPr>
          <w:p>
            <w:pPr>
              <w:pStyle w:val="18"/>
            </w:pPr>
            <w:r>
              <w:t>现场教学点数量</w:t>
            </w:r>
          </w:p>
        </w:tc>
        <w:tc>
          <w:tcPr>
            <w:tcW w:w="3010" w:type="dxa"/>
            <w:vAlign w:val="center"/>
          </w:tcPr>
          <w:p>
            <w:pPr>
              <w:pStyle w:val="18"/>
            </w:pPr>
            <w:r>
              <w:t>建设现场教学点的数量</w:t>
            </w:r>
          </w:p>
        </w:tc>
        <w:tc>
          <w:tcPr>
            <w:tcW w:w="2551" w:type="dxa"/>
            <w:vAlign w:val="center"/>
          </w:tcPr>
          <w:p>
            <w:pPr>
              <w:pStyle w:val="18"/>
            </w:pPr>
            <w:r>
              <w:t>2个</w:t>
            </w:r>
          </w:p>
        </w:tc>
        <w:tc>
          <w:tcPr>
            <w:tcW w:w="2268" w:type="dxa"/>
            <w:vAlign w:val="center"/>
          </w:tcPr>
          <w:p>
            <w:pPr>
              <w:pStyle w:val="18"/>
            </w:pPr>
            <w:r>
              <w:t>现场教学点数量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质量指标</w:t>
            </w:r>
          </w:p>
        </w:tc>
        <w:tc>
          <w:tcPr>
            <w:tcW w:w="2835" w:type="dxa"/>
            <w:vAlign w:val="center"/>
          </w:tcPr>
          <w:p>
            <w:pPr>
              <w:pStyle w:val="18"/>
            </w:pPr>
            <w:r>
              <w:t>验收合格率</w:t>
            </w:r>
          </w:p>
        </w:tc>
        <w:tc>
          <w:tcPr>
            <w:tcW w:w="3010" w:type="dxa"/>
            <w:vAlign w:val="center"/>
          </w:tcPr>
          <w:p>
            <w:pPr>
              <w:pStyle w:val="18"/>
              <w:rPr>
                <w:sz w:val="18"/>
                <w:szCs w:val="18"/>
              </w:rPr>
            </w:pPr>
            <w:r>
              <w:rPr>
                <w:sz w:val="18"/>
                <w:szCs w:val="18"/>
              </w:rPr>
              <w:t>通过验收的工程数量占工程总量的比率</w:t>
            </w:r>
          </w:p>
        </w:tc>
        <w:tc>
          <w:tcPr>
            <w:tcW w:w="2551" w:type="dxa"/>
            <w:vAlign w:val="center"/>
          </w:tcPr>
          <w:p>
            <w:pPr>
              <w:pStyle w:val="18"/>
              <w:rPr>
                <w:sz w:val="18"/>
                <w:szCs w:val="18"/>
              </w:rPr>
            </w:pPr>
            <w:r>
              <w:rPr>
                <w:sz w:val="18"/>
                <w:szCs w:val="18"/>
              </w:rPr>
              <w:t>100百分比</w:t>
            </w:r>
          </w:p>
        </w:tc>
        <w:tc>
          <w:tcPr>
            <w:tcW w:w="2268" w:type="dxa"/>
            <w:vAlign w:val="center"/>
          </w:tcPr>
          <w:p>
            <w:pPr>
              <w:pStyle w:val="18"/>
              <w:rPr>
                <w:sz w:val="18"/>
                <w:szCs w:val="18"/>
              </w:rPr>
            </w:pPr>
            <w:r>
              <w:rPr>
                <w:sz w:val="18"/>
                <w:szCs w:val="18"/>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时效指标</w:t>
            </w:r>
          </w:p>
        </w:tc>
        <w:tc>
          <w:tcPr>
            <w:tcW w:w="2835" w:type="dxa"/>
            <w:vAlign w:val="center"/>
          </w:tcPr>
          <w:p>
            <w:pPr>
              <w:pStyle w:val="18"/>
            </w:pPr>
            <w:r>
              <w:t>完成及时性</w:t>
            </w:r>
          </w:p>
        </w:tc>
        <w:tc>
          <w:tcPr>
            <w:tcW w:w="3010" w:type="dxa"/>
            <w:vAlign w:val="center"/>
          </w:tcPr>
          <w:p>
            <w:pPr>
              <w:pStyle w:val="18"/>
              <w:rPr>
                <w:sz w:val="18"/>
                <w:szCs w:val="18"/>
              </w:rPr>
            </w:pPr>
            <w:r>
              <w:rPr>
                <w:sz w:val="18"/>
                <w:szCs w:val="18"/>
              </w:rPr>
              <w:t>规定时间内完成</w:t>
            </w:r>
          </w:p>
        </w:tc>
        <w:tc>
          <w:tcPr>
            <w:tcW w:w="2551" w:type="dxa"/>
            <w:vAlign w:val="center"/>
          </w:tcPr>
          <w:p>
            <w:pPr>
              <w:pStyle w:val="18"/>
              <w:rPr>
                <w:sz w:val="18"/>
                <w:szCs w:val="18"/>
              </w:rPr>
            </w:pPr>
            <w:r>
              <w:rPr>
                <w:sz w:val="18"/>
                <w:szCs w:val="18"/>
              </w:rPr>
              <w:t>8月底前</w:t>
            </w:r>
          </w:p>
        </w:tc>
        <w:tc>
          <w:tcPr>
            <w:tcW w:w="2268" w:type="dxa"/>
            <w:vAlign w:val="center"/>
          </w:tcPr>
          <w:p>
            <w:pPr>
              <w:pStyle w:val="18"/>
              <w:rPr>
                <w:sz w:val="18"/>
                <w:szCs w:val="18"/>
              </w:rPr>
            </w:pPr>
            <w:r>
              <w:rPr>
                <w:sz w:val="18"/>
                <w:szCs w:val="18"/>
              </w:rPr>
              <w:t>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成本指标</w:t>
            </w:r>
          </w:p>
        </w:tc>
        <w:tc>
          <w:tcPr>
            <w:tcW w:w="2835" w:type="dxa"/>
            <w:vAlign w:val="center"/>
          </w:tcPr>
          <w:p>
            <w:pPr>
              <w:pStyle w:val="18"/>
              <w:rPr>
                <w:sz w:val="18"/>
                <w:szCs w:val="18"/>
              </w:rPr>
            </w:pPr>
            <w:r>
              <w:rPr>
                <w:sz w:val="18"/>
                <w:szCs w:val="18"/>
              </w:rPr>
              <w:t>项目支出控制在预算范围内</w:t>
            </w:r>
          </w:p>
        </w:tc>
        <w:tc>
          <w:tcPr>
            <w:tcW w:w="3010" w:type="dxa"/>
            <w:vAlign w:val="center"/>
          </w:tcPr>
          <w:p>
            <w:pPr>
              <w:pStyle w:val="18"/>
              <w:rPr>
                <w:sz w:val="18"/>
                <w:szCs w:val="18"/>
              </w:rPr>
            </w:pPr>
            <w:r>
              <w:rPr>
                <w:sz w:val="18"/>
                <w:szCs w:val="18"/>
              </w:rPr>
              <w:t>项目资金支出按照具体文件规定控制在10万元成本范围内，不超标</w:t>
            </w:r>
          </w:p>
        </w:tc>
        <w:tc>
          <w:tcPr>
            <w:tcW w:w="2551" w:type="dxa"/>
            <w:vAlign w:val="center"/>
          </w:tcPr>
          <w:p>
            <w:pPr>
              <w:pStyle w:val="18"/>
              <w:rPr>
                <w:sz w:val="18"/>
                <w:szCs w:val="18"/>
              </w:rPr>
            </w:pPr>
            <w:r>
              <w:rPr>
                <w:sz w:val="18"/>
                <w:szCs w:val="18"/>
              </w:rPr>
              <w:t>≤7.5万元</w:t>
            </w:r>
          </w:p>
        </w:tc>
        <w:tc>
          <w:tcPr>
            <w:tcW w:w="2268" w:type="dxa"/>
            <w:vAlign w:val="center"/>
          </w:tcPr>
          <w:p>
            <w:pPr>
              <w:pStyle w:val="18"/>
              <w:rPr>
                <w:sz w:val="18"/>
                <w:szCs w:val="18"/>
              </w:rPr>
            </w:pPr>
            <w:r>
              <w:rPr>
                <w:sz w:val="18"/>
                <w:szCs w:val="18"/>
              </w:rPr>
              <w:t>项目支出控制在预算范围内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417" w:type="dxa"/>
            <w:vMerge w:val="restart"/>
            <w:vAlign w:val="center"/>
          </w:tcPr>
          <w:p>
            <w:pPr>
              <w:pStyle w:val="19"/>
            </w:pPr>
            <w:r>
              <w:t>效益指标</w:t>
            </w:r>
          </w:p>
        </w:tc>
        <w:tc>
          <w:tcPr>
            <w:tcW w:w="2093" w:type="dxa"/>
            <w:vAlign w:val="center"/>
          </w:tcPr>
          <w:p>
            <w:pPr>
              <w:pStyle w:val="18"/>
            </w:pPr>
            <w:r>
              <w:t>社会效益指标</w:t>
            </w:r>
          </w:p>
        </w:tc>
        <w:tc>
          <w:tcPr>
            <w:tcW w:w="2835" w:type="dxa"/>
            <w:vAlign w:val="center"/>
          </w:tcPr>
          <w:p>
            <w:pPr>
              <w:pStyle w:val="18"/>
            </w:pPr>
            <w:r>
              <w:t>提高干部培训水平有效性</w:t>
            </w:r>
          </w:p>
        </w:tc>
        <w:tc>
          <w:tcPr>
            <w:tcW w:w="3010" w:type="dxa"/>
            <w:vAlign w:val="center"/>
          </w:tcPr>
          <w:p>
            <w:pPr>
              <w:pStyle w:val="18"/>
              <w:rPr>
                <w:sz w:val="18"/>
                <w:szCs w:val="18"/>
              </w:rPr>
            </w:pPr>
            <w:r>
              <w:rPr>
                <w:sz w:val="18"/>
                <w:szCs w:val="18"/>
              </w:rPr>
              <w:t>通过“四个二十”工程建设，提高干部培训水平的情况</w:t>
            </w:r>
          </w:p>
        </w:tc>
        <w:tc>
          <w:tcPr>
            <w:tcW w:w="2551" w:type="dxa"/>
            <w:vAlign w:val="center"/>
          </w:tcPr>
          <w:p>
            <w:pPr>
              <w:pStyle w:val="18"/>
            </w:pPr>
            <w:r>
              <w:t>达成提高目标</w:t>
            </w:r>
          </w:p>
        </w:tc>
        <w:tc>
          <w:tcPr>
            <w:tcW w:w="2268" w:type="dxa"/>
            <w:vAlign w:val="center"/>
          </w:tcPr>
          <w:p>
            <w:pPr>
              <w:pStyle w:val="18"/>
              <w:rPr>
                <w:sz w:val="18"/>
                <w:szCs w:val="18"/>
              </w:rPr>
            </w:pPr>
            <w:r>
              <w:rPr>
                <w:sz w:val="18"/>
                <w:szCs w:val="18"/>
              </w:rPr>
              <w:t>提高干部培训水平有效性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可持续影响指标</w:t>
            </w:r>
          </w:p>
        </w:tc>
        <w:tc>
          <w:tcPr>
            <w:tcW w:w="2835" w:type="dxa"/>
            <w:vAlign w:val="center"/>
          </w:tcPr>
          <w:p>
            <w:pPr>
              <w:pStyle w:val="18"/>
            </w:pPr>
            <w:r>
              <w:t>持续提高干部党性修养和能力</w:t>
            </w:r>
          </w:p>
        </w:tc>
        <w:tc>
          <w:tcPr>
            <w:tcW w:w="3010" w:type="dxa"/>
            <w:vAlign w:val="center"/>
          </w:tcPr>
          <w:p>
            <w:pPr>
              <w:pStyle w:val="18"/>
              <w:rPr>
                <w:sz w:val="18"/>
                <w:szCs w:val="18"/>
              </w:rPr>
            </w:pPr>
            <w:r>
              <w:rPr>
                <w:sz w:val="18"/>
                <w:szCs w:val="18"/>
              </w:rPr>
              <w:t>能提供资金、人力、物力支持，保障持续提高持续提高党员干部的党性修养和工作能力</w:t>
            </w:r>
          </w:p>
        </w:tc>
        <w:tc>
          <w:tcPr>
            <w:tcW w:w="2551" w:type="dxa"/>
            <w:vAlign w:val="center"/>
          </w:tcPr>
          <w:p>
            <w:pPr>
              <w:pStyle w:val="18"/>
            </w:pPr>
            <w:r>
              <w:t>达成可持续目标</w:t>
            </w:r>
          </w:p>
        </w:tc>
        <w:tc>
          <w:tcPr>
            <w:tcW w:w="2268" w:type="dxa"/>
            <w:vAlign w:val="center"/>
          </w:tcPr>
          <w:p>
            <w:pPr>
              <w:pStyle w:val="18"/>
              <w:rPr>
                <w:sz w:val="18"/>
                <w:szCs w:val="18"/>
              </w:rPr>
            </w:pPr>
            <w:r>
              <w:rPr>
                <w:sz w:val="18"/>
                <w:szCs w:val="18"/>
              </w:rPr>
              <w:t>持续提高干部党性修养和能力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093" w:type="dxa"/>
            <w:vAlign w:val="center"/>
          </w:tcPr>
          <w:p>
            <w:pPr>
              <w:pStyle w:val="18"/>
            </w:pPr>
            <w:r>
              <w:t>服务对象满意度指标</w:t>
            </w:r>
          </w:p>
        </w:tc>
        <w:tc>
          <w:tcPr>
            <w:tcW w:w="2835" w:type="dxa"/>
            <w:vAlign w:val="center"/>
          </w:tcPr>
          <w:p>
            <w:pPr>
              <w:pStyle w:val="18"/>
            </w:pPr>
            <w:r>
              <w:t>参加培训学员满意度</w:t>
            </w:r>
          </w:p>
        </w:tc>
        <w:tc>
          <w:tcPr>
            <w:tcW w:w="3010" w:type="dxa"/>
            <w:vAlign w:val="center"/>
          </w:tcPr>
          <w:p>
            <w:pPr>
              <w:pStyle w:val="18"/>
              <w:rPr>
                <w:sz w:val="18"/>
                <w:szCs w:val="18"/>
              </w:rPr>
            </w:pPr>
            <w:r>
              <w:rPr>
                <w:sz w:val="18"/>
                <w:szCs w:val="18"/>
              </w:rPr>
              <w:t>培训学员对教学质量的满意程度</w:t>
            </w:r>
          </w:p>
        </w:tc>
        <w:tc>
          <w:tcPr>
            <w:tcW w:w="2551" w:type="dxa"/>
            <w:vAlign w:val="center"/>
          </w:tcPr>
          <w:p>
            <w:pPr>
              <w:pStyle w:val="18"/>
            </w:pPr>
            <w:r>
              <w:t>≥90百分比</w:t>
            </w:r>
          </w:p>
        </w:tc>
        <w:tc>
          <w:tcPr>
            <w:tcW w:w="2268" w:type="dxa"/>
            <w:vAlign w:val="center"/>
          </w:tcPr>
          <w:p>
            <w:pPr>
              <w:pStyle w:val="18"/>
            </w:pPr>
            <w:r>
              <w:t>参加培训学员满意度</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ind w:firstLine="560"/>
        <w:rPr>
          <w:rFonts w:hint="eastAsia" w:ascii="方正仿宋_GBK" w:hAnsi="方正仿宋_GBK" w:cs="方正仿宋_GBK"/>
          <w:b/>
          <w:color w:val="000000"/>
          <w:sz w:val="28"/>
        </w:rPr>
      </w:pPr>
    </w:p>
    <w:p>
      <w:pPr>
        <w:ind w:firstLine="560"/>
        <w:rPr>
          <w:rFonts w:hint="eastAsia" w:ascii="方正仿宋_GBK" w:hAnsi="方正仿宋_GBK" w:cs="方正仿宋_GBK"/>
          <w:b/>
          <w:color w:val="000000"/>
          <w:sz w:val="28"/>
        </w:rPr>
      </w:pPr>
    </w:p>
    <w:p>
      <w:pPr>
        <w:ind w:firstLine="560"/>
      </w:pPr>
      <w:r>
        <w:rPr>
          <w:rFonts w:hint="eastAsia" w:ascii="方正仿宋_GBK" w:hAnsi="方正仿宋_GBK" w:cs="方正仿宋_GBK"/>
          <w:b/>
          <w:color w:val="000000"/>
          <w:sz w:val="28"/>
        </w:rPr>
        <w:t>4</w:t>
      </w:r>
      <w:r>
        <w:rPr>
          <w:rFonts w:ascii="方正仿宋_GBK" w:hAnsi="方正仿宋_GBK" w:eastAsia="方正仿宋_GBK" w:cs="方正仿宋_GBK"/>
          <w:b/>
          <w:color w:val="000000"/>
          <w:sz w:val="28"/>
        </w:rPr>
        <w:t>、党校四个二十工程建设资金经费绩效目标表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lang w:eastAsia="zh-CN"/>
              </w:rPr>
            </w:pPr>
            <w:r>
              <w:t>1.完成打造二门精品课</w:t>
            </w:r>
            <w:r>
              <w:rPr>
                <w:rFonts w:hint="eastAsia" w:eastAsiaTheme="minorEastAsia"/>
                <w:lang w:eastAsia="zh-CN"/>
              </w:rPr>
              <w:t>；</w:t>
            </w:r>
            <w:r>
              <w:t>2.编写二个教学案例</w:t>
            </w:r>
            <w:r>
              <w:rPr>
                <w:rFonts w:hint="eastAsia"/>
                <w:lang w:eastAsia="zh-CN"/>
              </w:rPr>
              <w:t>；</w:t>
            </w:r>
            <w:r>
              <w:t>3.推荐三名优秀教师</w:t>
            </w:r>
            <w:r>
              <w:rPr>
                <w:rFonts w:hint="eastAsia"/>
                <w:lang w:eastAsia="zh-CN"/>
              </w:rPr>
              <w:t>；</w:t>
            </w:r>
            <w:r>
              <w:t>4.打造现场教学点二个</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093"/>
        <w:gridCol w:w="2835"/>
        <w:gridCol w:w="3010"/>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1417" w:type="dxa"/>
            <w:vAlign w:val="center"/>
          </w:tcPr>
          <w:p>
            <w:pPr>
              <w:pStyle w:val="16"/>
            </w:pPr>
            <w:r>
              <w:t>一级指标</w:t>
            </w:r>
          </w:p>
        </w:tc>
        <w:tc>
          <w:tcPr>
            <w:tcW w:w="2093" w:type="dxa"/>
            <w:vAlign w:val="center"/>
          </w:tcPr>
          <w:p>
            <w:pPr>
              <w:pStyle w:val="16"/>
            </w:pPr>
            <w:r>
              <w:t>二级指标</w:t>
            </w:r>
          </w:p>
        </w:tc>
        <w:tc>
          <w:tcPr>
            <w:tcW w:w="2835" w:type="dxa"/>
            <w:vAlign w:val="center"/>
          </w:tcPr>
          <w:p>
            <w:pPr>
              <w:pStyle w:val="16"/>
            </w:pPr>
            <w:r>
              <w:t>三级指标</w:t>
            </w:r>
          </w:p>
        </w:tc>
        <w:tc>
          <w:tcPr>
            <w:tcW w:w="3010"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093" w:type="dxa"/>
            <w:vAlign w:val="center"/>
          </w:tcPr>
          <w:p>
            <w:pPr>
              <w:pStyle w:val="18"/>
            </w:pPr>
            <w:r>
              <w:t>数量指标</w:t>
            </w:r>
          </w:p>
        </w:tc>
        <w:tc>
          <w:tcPr>
            <w:tcW w:w="2835" w:type="dxa"/>
            <w:vAlign w:val="center"/>
          </w:tcPr>
          <w:p>
            <w:pPr>
              <w:pStyle w:val="18"/>
            </w:pPr>
            <w:r>
              <w:t>精品课数量</w:t>
            </w:r>
          </w:p>
        </w:tc>
        <w:tc>
          <w:tcPr>
            <w:tcW w:w="3010" w:type="dxa"/>
            <w:vAlign w:val="center"/>
          </w:tcPr>
          <w:p>
            <w:pPr>
              <w:pStyle w:val="18"/>
            </w:pPr>
            <w:r>
              <w:t>打造精品课的数量</w:t>
            </w:r>
          </w:p>
        </w:tc>
        <w:tc>
          <w:tcPr>
            <w:tcW w:w="2551" w:type="dxa"/>
            <w:vAlign w:val="center"/>
          </w:tcPr>
          <w:p>
            <w:pPr>
              <w:pStyle w:val="18"/>
            </w:pPr>
            <w:r>
              <w:t>2个</w:t>
            </w:r>
          </w:p>
        </w:tc>
        <w:tc>
          <w:tcPr>
            <w:tcW w:w="2268" w:type="dxa"/>
            <w:vAlign w:val="center"/>
          </w:tcPr>
          <w:p>
            <w:pPr>
              <w:pStyle w:val="18"/>
            </w:pPr>
            <w:r>
              <w:t>精品课数量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数量指标</w:t>
            </w:r>
          </w:p>
        </w:tc>
        <w:tc>
          <w:tcPr>
            <w:tcW w:w="2835" w:type="dxa"/>
            <w:vAlign w:val="center"/>
          </w:tcPr>
          <w:p>
            <w:pPr>
              <w:pStyle w:val="18"/>
            </w:pPr>
            <w:r>
              <w:t>教学案例数量</w:t>
            </w:r>
          </w:p>
        </w:tc>
        <w:tc>
          <w:tcPr>
            <w:tcW w:w="3010" w:type="dxa"/>
            <w:vAlign w:val="center"/>
          </w:tcPr>
          <w:p>
            <w:pPr>
              <w:pStyle w:val="18"/>
            </w:pPr>
            <w:r>
              <w:t>编写优秀教学案例的数量</w:t>
            </w:r>
          </w:p>
        </w:tc>
        <w:tc>
          <w:tcPr>
            <w:tcW w:w="2551" w:type="dxa"/>
            <w:vAlign w:val="center"/>
          </w:tcPr>
          <w:p>
            <w:pPr>
              <w:pStyle w:val="18"/>
            </w:pPr>
            <w:r>
              <w:t>2个</w:t>
            </w:r>
          </w:p>
        </w:tc>
        <w:tc>
          <w:tcPr>
            <w:tcW w:w="2268" w:type="dxa"/>
            <w:vAlign w:val="center"/>
          </w:tcPr>
          <w:p>
            <w:pPr>
              <w:pStyle w:val="18"/>
            </w:pPr>
            <w:r>
              <w:t>教学案例数量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数量指标</w:t>
            </w:r>
          </w:p>
        </w:tc>
        <w:tc>
          <w:tcPr>
            <w:tcW w:w="2835" w:type="dxa"/>
            <w:vAlign w:val="center"/>
          </w:tcPr>
          <w:p>
            <w:pPr>
              <w:pStyle w:val="18"/>
            </w:pPr>
            <w:r>
              <w:t>优秀教师数量</w:t>
            </w:r>
          </w:p>
        </w:tc>
        <w:tc>
          <w:tcPr>
            <w:tcW w:w="3010" w:type="dxa"/>
            <w:vAlign w:val="center"/>
          </w:tcPr>
          <w:p>
            <w:pPr>
              <w:pStyle w:val="18"/>
            </w:pPr>
            <w:r>
              <w:t>推荐优秀教师的数量</w:t>
            </w:r>
          </w:p>
        </w:tc>
        <w:tc>
          <w:tcPr>
            <w:tcW w:w="2551" w:type="dxa"/>
            <w:vAlign w:val="center"/>
          </w:tcPr>
          <w:p>
            <w:pPr>
              <w:pStyle w:val="18"/>
            </w:pPr>
            <w:r>
              <w:t>3名</w:t>
            </w:r>
          </w:p>
        </w:tc>
        <w:tc>
          <w:tcPr>
            <w:tcW w:w="2268" w:type="dxa"/>
            <w:vAlign w:val="center"/>
          </w:tcPr>
          <w:p>
            <w:pPr>
              <w:pStyle w:val="18"/>
            </w:pPr>
            <w:r>
              <w:t>优秀教师数量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数量指标</w:t>
            </w:r>
          </w:p>
        </w:tc>
        <w:tc>
          <w:tcPr>
            <w:tcW w:w="2835" w:type="dxa"/>
            <w:vAlign w:val="center"/>
          </w:tcPr>
          <w:p>
            <w:pPr>
              <w:pStyle w:val="18"/>
            </w:pPr>
            <w:r>
              <w:t>现场教学点数量</w:t>
            </w:r>
          </w:p>
        </w:tc>
        <w:tc>
          <w:tcPr>
            <w:tcW w:w="3010" w:type="dxa"/>
            <w:vAlign w:val="center"/>
          </w:tcPr>
          <w:p>
            <w:pPr>
              <w:pStyle w:val="18"/>
            </w:pPr>
            <w:r>
              <w:t>建设现场教学点的数量</w:t>
            </w:r>
          </w:p>
        </w:tc>
        <w:tc>
          <w:tcPr>
            <w:tcW w:w="2551" w:type="dxa"/>
            <w:vAlign w:val="center"/>
          </w:tcPr>
          <w:p>
            <w:pPr>
              <w:pStyle w:val="18"/>
            </w:pPr>
            <w:r>
              <w:t>2个</w:t>
            </w:r>
          </w:p>
        </w:tc>
        <w:tc>
          <w:tcPr>
            <w:tcW w:w="2268" w:type="dxa"/>
            <w:vAlign w:val="center"/>
          </w:tcPr>
          <w:p>
            <w:pPr>
              <w:pStyle w:val="18"/>
            </w:pPr>
            <w:r>
              <w:t>现场教学点数量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质量指标</w:t>
            </w:r>
          </w:p>
        </w:tc>
        <w:tc>
          <w:tcPr>
            <w:tcW w:w="2835" w:type="dxa"/>
            <w:vAlign w:val="center"/>
          </w:tcPr>
          <w:p>
            <w:pPr>
              <w:pStyle w:val="18"/>
            </w:pPr>
            <w:r>
              <w:t>验收合格率</w:t>
            </w:r>
          </w:p>
        </w:tc>
        <w:tc>
          <w:tcPr>
            <w:tcW w:w="3010" w:type="dxa"/>
            <w:vAlign w:val="center"/>
          </w:tcPr>
          <w:p>
            <w:pPr>
              <w:pStyle w:val="18"/>
            </w:pPr>
            <w:r>
              <w:t>通过验收的工程数量占工程总量的比率</w:t>
            </w:r>
          </w:p>
        </w:tc>
        <w:tc>
          <w:tcPr>
            <w:tcW w:w="2551" w:type="dxa"/>
            <w:vAlign w:val="center"/>
          </w:tcPr>
          <w:p>
            <w:pPr>
              <w:pStyle w:val="18"/>
            </w:pPr>
            <w:r>
              <w:t>100百分比</w:t>
            </w:r>
          </w:p>
        </w:tc>
        <w:tc>
          <w:tcPr>
            <w:tcW w:w="2268" w:type="dxa"/>
            <w:vAlign w:val="center"/>
          </w:tcPr>
          <w:p>
            <w:pPr>
              <w:pStyle w:val="1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时效指标</w:t>
            </w:r>
          </w:p>
        </w:tc>
        <w:tc>
          <w:tcPr>
            <w:tcW w:w="2835" w:type="dxa"/>
            <w:vAlign w:val="center"/>
          </w:tcPr>
          <w:p>
            <w:pPr>
              <w:pStyle w:val="18"/>
            </w:pPr>
            <w:r>
              <w:t>完成及时性</w:t>
            </w:r>
          </w:p>
        </w:tc>
        <w:tc>
          <w:tcPr>
            <w:tcW w:w="3010" w:type="dxa"/>
            <w:vAlign w:val="center"/>
          </w:tcPr>
          <w:p>
            <w:pPr>
              <w:pStyle w:val="18"/>
            </w:pPr>
            <w:r>
              <w:t>规定时间内完成</w:t>
            </w:r>
          </w:p>
        </w:tc>
        <w:tc>
          <w:tcPr>
            <w:tcW w:w="2551" w:type="dxa"/>
            <w:vAlign w:val="center"/>
          </w:tcPr>
          <w:p>
            <w:pPr>
              <w:pStyle w:val="18"/>
            </w:pPr>
            <w:r>
              <w:t>8月底前</w:t>
            </w:r>
          </w:p>
        </w:tc>
        <w:tc>
          <w:tcPr>
            <w:tcW w:w="2268" w:type="dxa"/>
            <w:vAlign w:val="center"/>
          </w:tcPr>
          <w:p>
            <w:pPr>
              <w:pStyle w:val="18"/>
            </w:pPr>
            <w:r>
              <w:t>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成本指标</w:t>
            </w:r>
          </w:p>
        </w:tc>
        <w:tc>
          <w:tcPr>
            <w:tcW w:w="2835" w:type="dxa"/>
            <w:vAlign w:val="center"/>
          </w:tcPr>
          <w:p>
            <w:pPr>
              <w:pStyle w:val="18"/>
            </w:pPr>
            <w:r>
              <w:t>项目支出控制在预算范围内</w:t>
            </w:r>
          </w:p>
        </w:tc>
        <w:tc>
          <w:tcPr>
            <w:tcW w:w="3010" w:type="dxa"/>
            <w:vAlign w:val="center"/>
          </w:tcPr>
          <w:p>
            <w:pPr>
              <w:pStyle w:val="18"/>
            </w:pPr>
            <w:r>
              <w:t>项目资金支出按照具体文件规定控制在10万元成本范围内，不超标</w:t>
            </w:r>
          </w:p>
        </w:tc>
        <w:tc>
          <w:tcPr>
            <w:tcW w:w="2551" w:type="dxa"/>
            <w:vAlign w:val="center"/>
          </w:tcPr>
          <w:p>
            <w:pPr>
              <w:pStyle w:val="18"/>
            </w:pPr>
            <w:r>
              <w:t>≤7.5万元</w:t>
            </w:r>
          </w:p>
        </w:tc>
        <w:tc>
          <w:tcPr>
            <w:tcW w:w="2268" w:type="dxa"/>
            <w:vAlign w:val="center"/>
          </w:tcPr>
          <w:p>
            <w:pPr>
              <w:pStyle w:val="18"/>
            </w:pPr>
            <w:r>
              <w:t>项目支出控制在预算范围内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417" w:type="dxa"/>
            <w:vMerge w:val="restart"/>
            <w:vAlign w:val="center"/>
          </w:tcPr>
          <w:p>
            <w:pPr>
              <w:pStyle w:val="19"/>
            </w:pPr>
            <w:r>
              <w:t>效益指标</w:t>
            </w:r>
          </w:p>
        </w:tc>
        <w:tc>
          <w:tcPr>
            <w:tcW w:w="2093" w:type="dxa"/>
            <w:vAlign w:val="center"/>
          </w:tcPr>
          <w:p>
            <w:pPr>
              <w:pStyle w:val="18"/>
            </w:pPr>
            <w:r>
              <w:t>社会效益指标</w:t>
            </w:r>
          </w:p>
        </w:tc>
        <w:tc>
          <w:tcPr>
            <w:tcW w:w="2835" w:type="dxa"/>
            <w:vAlign w:val="center"/>
          </w:tcPr>
          <w:p>
            <w:pPr>
              <w:pStyle w:val="18"/>
            </w:pPr>
            <w:r>
              <w:t>提高干部培训水平有效性</w:t>
            </w:r>
          </w:p>
        </w:tc>
        <w:tc>
          <w:tcPr>
            <w:tcW w:w="3010" w:type="dxa"/>
            <w:vAlign w:val="center"/>
          </w:tcPr>
          <w:p>
            <w:pPr>
              <w:pStyle w:val="18"/>
            </w:pPr>
            <w:r>
              <w:t>通过“四个二十”工程建设，提高干部培训水平的情况</w:t>
            </w:r>
          </w:p>
        </w:tc>
        <w:tc>
          <w:tcPr>
            <w:tcW w:w="2551" w:type="dxa"/>
            <w:vAlign w:val="center"/>
          </w:tcPr>
          <w:p>
            <w:pPr>
              <w:pStyle w:val="18"/>
            </w:pPr>
            <w:r>
              <w:t>达成提高目标</w:t>
            </w:r>
          </w:p>
        </w:tc>
        <w:tc>
          <w:tcPr>
            <w:tcW w:w="2268" w:type="dxa"/>
            <w:vAlign w:val="center"/>
          </w:tcPr>
          <w:p>
            <w:pPr>
              <w:pStyle w:val="18"/>
            </w:pPr>
            <w:r>
              <w:t>提高干部培训水平有效性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3" w:type="dxa"/>
            <w:vAlign w:val="center"/>
          </w:tcPr>
          <w:p>
            <w:pPr>
              <w:pStyle w:val="18"/>
            </w:pPr>
            <w:r>
              <w:t>可持续影响指标</w:t>
            </w:r>
          </w:p>
        </w:tc>
        <w:tc>
          <w:tcPr>
            <w:tcW w:w="2835" w:type="dxa"/>
            <w:vAlign w:val="center"/>
          </w:tcPr>
          <w:p>
            <w:pPr>
              <w:pStyle w:val="18"/>
            </w:pPr>
            <w:r>
              <w:t>持续提高干部党性修养和能力</w:t>
            </w:r>
          </w:p>
        </w:tc>
        <w:tc>
          <w:tcPr>
            <w:tcW w:w="3010" w:type="dxa"/>
            <w:vAlign w:val="center"/>
          </w:tcPr>
          <w:p>
            <w:pPr>
              <w:pStyle w:val="18"/>
            </w:pPr>
            <w:r>
              <w:t>能提供资金、人力、物力支持，保障持续提高持续提高党员干部的党性修养和工作能力</w:t>
            </w:r>
          </w:p>
        </w:tc>
        <w:tc>
          <w:tcPr>
            <w:tcW w:w="2551" w:type="dxa"/>
            <w:vAlign w:val="center"/>
          </w:tcPr>
          <w:p>
            <w:pPr>
              <w:pStyle w:val="18"/>
            </w:pPr>
            <w:r>
              <w:t>达成可持续目标</w:t>
            </w:r>
          </w:p>
        </w:tc>
        <w:tc>
          <w:tcPr>
            <w:tcW w:w="2268" w:type="dxa"/>
            <w:vAlign w:val="center"/>
          </w:tcPr>
          <w:p>
            <w:pPr>
              <w:pStyle w:val="18"/>
            </w:pPr>
            <w:r>
              <w:t>持续提高干部党性修养和能力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6" w:hRule="atLeast"/>
          <w:jc w:val="center"/>
        </w:trPr>
        <w:tc>
          <w:tcPr>
            <w:tcW w:w="1417" w:type="dxa"/>
            <w:vAlign w:val="center"/>
          </w:tcPr>
          <w:p>
            <w:pPr>
              <w:pStyle w:val="19"/>
            </w:pPr>
            <w:r>
              <w:t>满意度指标</w:t>
            </w:r>
          </w:p>
        </w:tc>
        <w:tc>
          <w:tcPr>
            <w:tcW w:w="2093" w:type="dxa"/>
            <w:vAlign w:val="center"/>
          </w:tcPr>
          <w:p>
            <w:pPr>
              <w:pStyle w:val="18"/>
            </w:pPr>
            <w:r>
              <w:t>服务对象满意度指标</w:t>
            </w:r>
          </w:p>
        </w:tc>
        <w:tc>
          <w:tcPr>
            <w:tcW w:w="2835" w:type="dxa"/>
            <w:vAlign w:val="center"/>
          </w:tcPr>
          <w:p>
            <w:pPr>
              <w:pStyle w:val="18"/>
            </w:pPr>
            <w:r>
              <w:t>参加培训学员满意度</w:t>
            </w:r>
          </w:p>
        </w:tc>
        <w:tc>
          <w:tcPr>
            <w:tcW w:w="3010" w:type="dxa"/>
            <w:vAlign w:val="center"/>
          </w:tcPr>
          <w:p>
            <w:pPr>
              <w:pStyle w:val="18"/>
            </w:pPr>
            <w:r>
              <w:t>培训学员对教学质量的满意程度</w:t>
            </w:r>
          </w:p>
        </w:tc>
        <w:tc>
          <w:tcPr>
            <w:tcW w:w="2551" w:type="dxa"/>
            <w:vAlign w:val="center"/>
          </w:tcPr>
          <w:p>
            <w:pPr>
              <w:pStyle w:val="18"/>
            </w:pPr>
            <w:r>
              <w:t>≥90百分比</w:t>
            </w:r>
          </w:p>
        </w:tc>
        <w:tc>
          <w:tcPr>
            <w:tcW w:w="2268" w:type="dxa"/>
            <w:vAlign w:val="center"/>
          </w:tcPr>
          <w:p>
            <w:pPr>
              <w:pStyle w:val="18"/>
            </w:pPr>
            <w:r>
              <w:t>参加培训学员满意度</w:t>
            </w:r>
          </w:p>
        </w:tc>
      </w:tr>
    </w:tbl>
    <w:p>
      <w:pPr>
        <w:sectPr>
          <w:pgSz w:w="16840" w:h="11900" w:orient="landscape"/>
          <w:pgMar w:top="1361" w:right="1020" w:bottom="1134" w:left="1020" w:header="720" w:footer="720" w:gutter="0"/>
          <w:cols w:space="720" w:num="1"/>
        </w:sectPr>
      </w:pPr>
      <w:bookmarkStart w:id="2" w:name="_GoBack"/>
      <w:bookmarkEnd w:id="2"/>
    </w:p>
    <w:p>
      <w:pPr>
        <w:sectPr>
          <w:pgSz w:w="16840" w:h="11900" w:orient="landscape"/>
          <w:pgMar w:top="1361" w:right="1020" w:bottom="1134" w:left="1020" w:header="720" w:footer="720" w:gutter="0"/>
          <w:cols w:space="720" w:num="1"/>
        </w:sect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2023年，我部门安排政府采购预算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rPr>
        <w:t>部门政府采购预算</w:t>
      </w:r>
      <w:bookmarkEnd w:id="1"/>
    </w:p>
    <w:p>
      <w:pPr>
        <w:jc w:val="left"/>
        <w:outlineLvl w:val="1"/>
        <w:rPr>
          <w:rFonts w:ascii="方正小标宋_GBK" w:eastAsia="方正小标宋_GBK" w:cs="Times New Roman"/>
          <w:sz w:val="32"/>
        </w:rPr>
      </w:pPr>
      <w:r>
        <w:rPr>
          <w:rFonts w:hint="eastAsia"/>
        </w:rPr>
        <w:t>281中国共产党永清县委员会党校</w:t>
      </w:r>
      <w:r>
        <w:t xml:space="preserve">                                                                            </w:t>
      </w:r>
      <w:r>
        <w:rPr>
          <w:rFonts w:hint="eastAsia"/>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rPr>
        <w:t>注：无政府采购预算，空表列示。</w:t>
      </w:r>
    </w:p>
    <w:p>
      <w:pPr>
        <w:spacing w:line="500"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tabs>
          <w:tab w:val="left" w:pos="11490"/>
        </w:tabs>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中国共产党永清县委员会党校本级上年末固定资产金额为</w:t>
      </w:r>
      <w:r>
        <w:rPr>
          <w:rFonts w:hint="eastAsia" w:ascii="Times New Roman" w:hAnsi="Times New Roman" w:eastAsia="仿宋_GB2312" w:cs="Times New Roman"/>
          <w:sz w:val="32"/>
          <w:szCs w:val="32"/>
        </w:rPr>
        <w:t>69.41</w:t>
      </w:r>
      <w:r>
        <w:rPr>
          <w:rFonts w:ascii="Times New Roman" w:hAnsi="Times New Roman" w:eastAsia="仿宋_GB2312" w:cs="Times New Roman"/>
          <w:sz w:val="32"/>
          <w:szCs w:val="32"/>
        </w:rPr>
        <w:t>万元（详见下表）。本年度拟购置固定资产总额为0.00万元。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281中国共产党永清县委员会党校</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2年12月31日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69.41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50.21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财政预算管理的“三公”经费，是指</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zRiM2RhYjk1N2QyYmY1ODViMzQyMTQ2ZjQ5OGUifQ=="/>
  </w:docVars>
  <w:rsids>
    <w:rsidRoot w:val="00F66032"/>
    <w:rsid w:val="000053CC"/>
    <w:rsid w:val="00005DD8"/>
    <w:rsid w:val="00007292"/>
    <w:rsid w:val="00007A31"/>
    <w:rsid w:val="0002784C"/>
    <w:rsid w:val="0003697D"/>
    <w:rsid w:val="00037AF6"/>
    <w:rsid w:val="0004565F"/>
    <w:rsid w:val="000618C5"/>
    <w:rsid w:val="00072187"/>
    <w:rsid w:val="00075D5F"/>
    <w:rsid w:val="0008180F"/>
    <w:rsid w:val="00082B29"/>
    <w:rsid w:val="00093DA3"/>
    <w:rsid w:val="000A661B"/>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84961"/>
    <w:rsid w:val="001919C4"/>
    <w:rsid w:val="0019412A"/>
    <w:rsid w:val="0019723B"/>
    <w:rsid w:val="001A0943"/>
    <w:rsid w:val="001A3D44"/>
    <w:rsid w:val="001B5C1D"/>
    <w:rsid w:val="001B614C"/>
    <w:rsid w:val="001C2B2C"/>
    <w:rsid w:val="001C3B5E"/>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3A"/>
    <w:rsid w:val="002C62BC"/>
    <w:rsid w:val="002D3C5F"/>
    <w:rsid w:val="002E0EB8"/>
    <w:rsid w:val="002E4C60"/>
    <w:rsid w:val="002F3A53"/>
    <w:rsid w:val="002F3E58"/>
    <w:rsid w:val="0030542C"/>
    <w:rsid w:val="003075D4"/>
    <w:rsid w:val="00311B7A"/>
    <w:rsid w:val="003126B6"/>
    <w:rsid w:val="00313D9C"/>
    <w:rsid w:val="00314231"/>
    <w:rsid w:val="00325215"/>
    <w:rsid w:val="0033148B"/>
    <w:rsid w:val="0033339C"/>
    <w:rsid w:val="0036386B"/>
    <w:rsid w:val="00371FDA"/>
    <w:rsid w:val="0039520A"/>
    <w:rsid w:val="003B6D37"/>
    <w:rsid w:val="003C147D"/>
    <w:rsid w:val="003D2708"/>
    <w:rsid w:val="003D2C2F"/>
    <w:rsid w:val="003D2E03"/>
    <w:rsid w:val="00415C0E"/>
    <w:rsid w:val="00424943"/>
    <w:rsid w:val="00426A46"/>
    <w:rsid w:val="0042727E"/>
    <w:rsid w:val="0043175C"/>
    <w:rsid w:val="00437296"/>
    <w:rsid w:val="00437941"/>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17C46"/>
    <w:rsid w:val="0052151F"/>
    <w:rsid w:val="00524EFD"/>
    <w:rsid w:val="00527CD9"/>
    <w:rsid w:val="00572067"/>
    <w:rsid w:val="00573562"/>
    <w:rsid w:val="00573966"/>
    <w:rsid w:val="0057546C"/>
    <w:rsid w:val="00590ECE"/>
    <w:rsid w:val="00591534"/>
    <w:rsid w:val="005A32B6"/>
    <w:rsid w:val="005B041A"/>
    <w:rsid w:val="005C0E90"/>
    <w:rsid w:val="005D37CA"/>
    <w:rsid w:val="005D5683"/>
    <w:rsid w:val="005F5714"/>
    <w:rsid w:val="005F7AE1"/>
    <w:rsid w:val="00611D03"/>
    <w:rsid w:val="00614A29"/>
    <w:rsid w:val="00616FCE"/>
    <w:rsid w:val="00621139"/>
    <w:rsid w:val="006465EA"/>
    <w:rsid w:val="00651BA2"/>
    <w:rsid w:val="00672D6C"/>
    <w:rsid w:val="00673D76"/>
    <w:rsid w:val="006750E7"/>
    <w:rsid w:val="00677AC3"/>
    <w:rsid w:val="006846E2"/>
    <w:rsid w:val="006854F0"/>
    <w:rsid w:val="006A0288"/>
    <w:rsid w:val="006B1C4A"/>
    <w:rsid w:val="006B610D"/>
    <w:rsid w:val="006C3E06"/>
    <w:rsid w:val="006C7381"/>
    <w:rsid w:val="006D0030"/>
    <w:rsid w:val="006D010F"/>
    <w:rsid w:val="006E49F5"/>
    <w:rsid w:val="006F66C9"/>
    <w:rsid w:val="006F74B7"/>
    <w:rsid w:val="007013C8"/>
    <w:rsid w:val="00716BFB"/>
    <w:rsid w:val="00727C84"/>
    <w:rsid w:val="00740BB2"/>
    <w:rsid w:val="0074338E"/>
    <w:rsid w:val="00745C5D"/>
    <w:rsid w:val="00753836"/>
    <w:rsid w:val="0075393C"/>
    <w:rsid w:val="00754592"/>
    <w:rsid w:val="0076689D"/>
    <w:rsid w:val="00776C08"/>
    <w:rsid w:val="00785B0E"/>
    <w:rsid w:val="007A2763"/>
    <w:rsid w:val="007A40EB"/>
    <w:rsid w:val="007B0400"/>
    <w:rsid w:val="007B49AA"/>
    <w:rsid w:val="007B5167"/>
    <w:rsid w:val="007C219A"/>
    <w:rsid w:val="007C5EA6"/>
    <w:rsid w:val="007E1DA8"/>
    <w:rsid w:val="007E2167"/>
    <w:rsid w:val="007E5E50"/>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464D6"/>
    <w:rsid w:val="00852B0D"/>
    <w:rsid w:val="0085425A"/>
    <w:rsid w:val="0085679A"/>
    <w:rsid w:val="0085726E"/>
    <w:rsid w:val="008575E3"/>
    <w:rsid w:val="008616F6"/>
    <w:rsid w:val="00864B7F"/>
    <w:rsid w:val="00876FFF"/>
    <w:rsid w:val="00881692"/>
    <w:rsid w:val="008858FF"/>
    <w:rsid w:val="0089075B"/>
    <w:rsid w:val="008A0B5A"/>
    <w:rsid w:val="008A62DA"/>
    <w:rsid w:val="008A6576"/>
    <w:rsid w:val="008A6D3B"/>
    <w:rsid w:val="008B017C"/>
    <w:rsid w:val="008B08D9"/>
    <w:rsid w:val="008B3CC5"/>
    <w:rsid w:val="008B52CD"/>
    <w:rsid w:val="008C4AAE"/>
    <w:rsid w:val="008C7C4D"/>
    <w:rsid w:val="008E0AD8"/>
    <w:rsid w:val="008E4261"/>
    <w:rsid w:val="008E70D4"/>
    <w:rsid w:val="008F4662"/>
    <w:rsid w:val="0090563F"/>
    <w:rsid w:val="00905D08"/>
    <w:rsid w:val="00914C4D"/>
    <w:rsid w:val="009161E4"/>
    <w:rsid w:val="009166B4"/>
    <w:rsid w:val="00923F0E"/>
    <w:rsid w:val="00925753"/>
    <w:rsid w:val="00936DDD"/>
    <w:rsid w:val="00937F8B"/>
    <w:rsid w:val="009425F4"/>
    <w:rsid w:val="00943BD8"/>
    <w:rsid w:val="00950961"/>
    <w:rsid w:val="009545BB"/>
    <w:rsid w:val="00954B2C"/>
    <w:rsid w:val="0096626E"/>
    <w:rsid w:val="00966C5C"/>
    <w:rsid w:val="00973104"/>
    <w:rsid w:val="009750F8"/>
    <w:rsid w:val="009842F6"/>
    <w:rsid w:val="00995BF0"/>
    <w:rsid w:val="009A16D5"/>
    <w:rsid w:val="009A353D"/>
    <w:rsid w:val="009B0B77"/>
    <w:rsid w:val="009B511E"/>
    <w:rsid w:val="009B5215"/>
    <w:rsid w:val="009C6C86"/>
    <w:rsid w:val="009D37D3"/>
    <w:rsid w:val="00A16E6C"/>
    <w:rsid w:val="00A40F60"/>
    <w:rsid w:val="00A44E3D"/>
    <w:rsid w:val="00A45598"/>
    <w:rsid w:val="00A72D2E"/>
    <w:rsid w:val="00A74447"/>
    <w:rsid w:val="00A74CE5"/>
    <w:rsid w:val="00A77500"/>
    <w:rsid w:val="00A8536F"/>
    <w:rsid w:val="00A911E7"/>
    <w:rsid w:val="00A92170"/>
    <w:rsid w:val="00A939D9"/>
    <w:rsid w:val="00AB4A34"/>
    <w:rsid w:val="00AB77AA"/>
    <w:rsid w:val="00AB7BB6"/>
    <w:rsid w:val="00AC1794"/>
    <w:rsid w:val="00AC405E"/>
    <w:rsid w:val="00AC4748"/>
    <w:rsid w:val="00AD5259"/>
    <w:rsid w:val="00AE1A02"/>
    <w:rsid w:val="00AE6E7A"/>
    <w:rsid w:val="00B01D36"/>
    <w:rsid w:val="00B02FF0"/>
    <w:rsid w:val="00B078CD"/>
    <w:rsid w:val="00B20712"/>
    <w:rsid w:val="00B43238"/>
    <w:rsid w:val="00B45DD3"/>
    <w:rsid w:val="00B46538"/>
    <w:rsid w:val="00B54B90"/>
    <w:rsid w:val="00B64FA8"/>
    <w:rsid w:val="00B73582"/>
    <w:rsid w:val="00B75216"/>
    <w:rsid w:val="00B755A2"/>
    <w:rsid w:val="00B75C1E"/>
    <w:rsid w:val="00B9104C"/>
    <w:rsid w:val="00B91D52"/>
    <w:rsid w:val="00B9490F"/>
    <w:rsid w:val="00BA0016"/>
    <w:rsid w:val="00BA0FF8"/>
    <w:rsid w:val="00BA1ACD"/>
    <w:rsid w:val="00BB125A"/>
    <w:rsid w:val="00BD09F8"/>
    <w:rsid w:val="00BD7278"/>
    <w:rsid w:val="00BE1FCE"/>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4188"/>
    <w:rsid w:val="00CD52C7"/>
    <w:rsid w:val="00CE01BA"/>
    <w:rsid w:val="00CE143B"/>
    <w:rsid w:val="00CE3A91"/>
    <w:rsid w:val="00D00653"/>
    <w:rsid w:val="00D07DBA"/>
    <w:rsid w:val="00D23C16"/>
    <w:rsid w:val="00D27003"/>
    <w:rsid w:val="00D270FD"/>
    <w:rsid w:val="00D324AD"/>
    <w:rsid w:val="00D56115"/>
    <w:rsid w:val="00D86ED8"/>
    <w:rsid w:val="00D926D0"/>
    <w:rsid w:val="00D9307A"/>
    <w:rsid w:val="00D95B8B"/>
    <w:rsid w:val="00DB08DA"/>
    <w:rsid w:val="00DB4322"/>
    <w:rsid w:val="00DC1ADD"/>
    <w:rsid w:val="00DC7CFA"/>
    <w:rsid w:val="00DD0348"/>
    <w:rsid w:val="00DD1D0C"/>
    <w:rsid w:val="00DD62E6"/>
    <w:rsid w:val="00DE186D"/>
    <w:rsid w:val="00DE4AC2"/>
    <w:rsid w:val="00DF2EB1"/>
    <w:rsid w:val="00DF5FFE"/>
    <w:rsid w:val="00E0381D"/>
    <w:rsid w:val="00E167C7"/>
    <w:rsid w:val="00E542F6"/>
    <w:rsid w:val="00E55B78"/>
    <w:rsid w:val="00E66527"/>
    <w:rsid w:val="00E74313"/>
    <w:rsid w:val="00E76361"/>
    <w:rsid w:val="00E84020"/>
    <w:rsid w:val="00EB53A2"/>
    <w:rsid w:val="00EB7A80"/>
    <w:rsid w:val="00EC17CA"/>
    <w:rsid w:val="00EC47F6"/>
    <w:rsid w:val="00EC797B"/>
    <w:rsid w:val="00ED0C47"/>
    <w:rsid w:val="00ED771C"/>
    <w:rsid w:val="00EE6D6D"/>
    <w:rsid w:val="00EF08C9"/>
    <w:rsid w:val="00EF2D9A"/>
    <w:rsid w:val="00EF535E"/>
    <w:rsid w:val="00F10A48"/>
    <w:rsid w:val="00F15CD2"/>
    <w:rsid w:val="00F22ECF"/>
    <w:rsid w:val="00F36922"/>
    <w:rsid w:val="00F471F7"/>
    <w:rsid w:val="00F47C8F"/>
    <w:rsid w:val="00F52717"/>
    <w:rsid w:val="00F52B2A"/>
    <w:rsid w:val="00F66032"/>
    <w:rsid w:val="00F83B96"/>
    <w:rsid w:val="00F8441D"/>
    <w:rsid w:val="00F87C1E"/>
    <w:rsid w:val="00F9078A"/>
    <w:rsid w:val="00F958C2"/>
    <w:rsid w:val="00FA5342"/>
    <w:rsid w:val="00FA6FE9"/>
    <w:rsid w:val="00FA740E"/>
    <w:rsid w:val="00FC06C7"/>
    <w:rsid w:val="00FD5DB4"/>
    <w:rsid w:val="00FE1724"/>
    <w:rsid w:val="00FE375B"/>
    <w:rsid w:val="00FE753C"/>
    <w:rsid w:val="00FF2162"/>
    <w:rsid w:val="00FF2346"/>
    <w:rsid w:val="27070CA1"/>
    <w:rsid w:val="272C7B58"/>
    <w:rsid w:val="46B018A9"/>
    <w:rsid w:val="67F35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autoRedefine/>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autoRedefine/>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szCs w:val="24"/>
    </w:rPr>
  </w:style>
  <w:style w:type="paragraph" w:customStyle="1" w:styleId="24">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szCs w:val="24"/>
    </w:rPr>
  </w:style>
  <w:style w:type="paragraph" w:customStyle="1" w:styleId="25">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szCs w:val="24"/>
    </w:rPr>
  </w:style>
  <w:style w:type="paragraph" w:customStyle="1" w:styleId="26">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356B-C557-43B4-AB47-5592B1FE15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1348</Words>
  <Characters>7690</Characters>
  <Lines>64</Lines>
  <Paragraphs>18</Paragraphs>
  <TotalTime>83</TotalTime>
  <ScaleCrop>false</ScaleCrop>
  <LinksUpToDate>false</LinksUpToDate>
  <CharactersWithSpaces>9020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2023-02-07T08:07:00Z</dcterms:created>
  <dc:creator>guest</dc:creator>
  <cp:lastModifiedBy>我就是固执</cp:lastModifiedBy>
  <cp:lastPrinted>2022-01-26T02:42:00Z</cp:lastPrinted>
  <dcterms:modified xsi:type="dcterms:W3CDTF">2024-05-15T03:45:11Z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8DCC483FB8024EA5AC8A04557BDF36F6_12</vt:lpwstr>
  </property>
</Properties>
</file>