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河北省永清县看守所</w:t>
      </w:r>
      <w:r>
        <w:rPr>
          <w:rFonts w:ascii="Times New Roman" w:hAnsi="Times New Roman" w:eastAsia="方正小标宋简体" w:cs="Times New Roman"/>
          <w:sz w:val="44"/>
          <w:szCs w:val="44"/>
        </w:rPr>
        <w:t>2023年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eastAsia="zh-CN"/>
        </w:rPr>
        <w:t>河北省永清县看守所</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负责全县公安监管场所业务工作及在押人员的监管教育、安全防范工作，查处安全事故；负责监所硬件设施建设；做好教育感化深挖犯罪工作。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河北省永清县看守所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预算安排的总体情况</w:t>
      </w:r>
    </w:p>
    <w:p>
      <w:pPr>
        <w:spacing w:line="584" w:lineRule="exact"/>
        <w:ind w:firstLine="640" w:firstLineChars="20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县单位</w:t>
      </w:r>
      <w:r>
        <w:rPr>
          <w:rFonts w:ascii="Times New Roman" w:hAnsi="Times New Roman" w:eastAsia="仿宋_GB2312" w:cs="Times New Roman"/>
          <w:sz w:val="32"/>
          <w:szCs w:val="32"/>
        </w:rPr>
        <w:t>预算的编制实行综合预算制度，即全部收入和支出都反映在预算中。</w:t>
      </w:r>
      <w:bookmarkStart w:id="2" w:name="_GoBack"/>
      <w:bookmarkEnd w:id="2"/>
      <w:r>
        <w:rPr>
          <w:rFonts w:hint="eastAsia" w:ascii="Times New Roman" w:hAnsi="Times New Roman" w:eastAsia="仿宋_GB2312" w:cs="Times New Roman"/>
          <w:sz w:val="32"/>
          <w:szCs w:val="32"/>
          <w:lang w:eastAsia="zh-CN"/>
        </w:rPr>
        <w:t>河北省永清县看守所的收支包含在单位预算中。</w:t>
      </w:r>
    </w:p>
    <w:p>
      <w:pPr>
        <w:spacing w:line="584" w:lineRule="exact"/>
        <w:ind w:firstLine="640"/>
        <w:rPr>
          <w:rFonts w:ascii="Times New Roman" w:hAnsi="Times New Roman" w:eastAsia="仿宋_GB2312" w:cs="Times New Roman"/>
          <w:b/>
          <w:color w:val="auto"/>
          <w:sz w:val="32"/>
          <w:szCs w:val="32"/>
        </w:rPr>
      </w:pPr>
      <w:r>
        <w:rPr>
          <w:rFonts w:ascii="Times New Roman" w:hAnsi="Times New Roman" w:eastAsia="仿宋_GB2312" w:cs="Times New Roman"/>
          <w:b/>
          <w:color w:val="auto"/>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当年全部收入。2023年预算收入</w:t>
      </w:r>
      <w:r>
        <w:rPr>
          <w:rFonts w:hint="eastAsia" w:ascii="Times New Roman" w:hAnsi="Times New Roman" w:eastAsia="仿宋_GB2312" w:cs="Times New Roman"/>
          <w:sz w:val="32"/>
          <w:szCs w:val="32"/>
          <w:lang w:val="en-US" w:eastAsia="zh-CN"/>
        </w:rPr>
        <w:t>230.44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230.44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eastAsia="zh-CN"/>
        </w:rPr>
        <w:t>河北省永清县看守所年度单位</w:t>
      </w:r>
      <w:r>
        <w:rPr>
          <w:rFonts w:ascii="Times New Roman" w:hAnsi="Times New Roman" w:eastAsia="仿宋_GB2312" w:cs="Times New Roman"/>
          <w:sz w:val="32"/>
          <w:szCs w:val="32"/>
        </w:rPr>
        <w:t>预算中支出预算的总体情况。2023年支出预算</w:t>
      </w:r>
      <w:r>
        <w:rPr>
          <w:rFonts w:hint="eastAsia" w:ascii="Times New Roman" w:hAnsi="Times New Roman" w:eastAsia="仿宋_GB2312" w:cs="Times New Roman"/>
          <w:sz w:val="32"/>
          <w:szCs w:val="32"/>
          <w:lang w:val="en-US" w:eastAsia="zh-CN"/>
        </w:rPr>
        <w:t>230.44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230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eastAsia="zh-CN"/>
        </w:rPr>
        <w:t>看守所公务费项目（运转保障）、看守所押犯给养费项目、看守所运转保障经费项目、看守所在押人员伙食费项目、看守所装备购置费项目（运转保障）、看守所装备消耗费项目（运转保障）</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2023年预算收支安排</w:t>
      </w:r>
      <w:r>
        <w:rPr>
          <w:rFonts w:hint="eastAsia" w:ascii="Times New Roman" w:hAnsi="Times New Roman" w:eastAsia="仿宋_GB2312" w:cs="Times New Roman"/>
          <w:sz w:val="32"/>
          <w:szCs w:val="32"/>
          <w:lang w:val="en-US" w:eastAsia="zh-CN"/>
        </w:rPr>
        <w:t>230.44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lang w:val="en-US" w:eastAsia="zh-CN"/>
        </w:rPr>
        <w:t>12.086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日常公用经费</w:t>
      </w:r>
      <w:r>
        <w:rPr>
          <w:rFonts w:ascii="Times New Roman" w:hAnsi="Times New Roman" w:eastAsia="仿宋_GB2312" w:cs="Times New Roman"/>
          <w:sz w:val="32"/>
          <w:szCs w:val="32"/>
        </w:rPr>
        <w:t>支出；项目支出</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lang w:val="en-US" w:eastAsia="zh-CN"/>
        </w:rPr>
        <w:t>12.286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看守所疫情防控经费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为邮电费，</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lang w:eastAsia="zh-CN"/>
        </w:rPr>
        <w:t>一体化平台服务费</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eastAsia="zh-CN"/>
        </w:rPr>
        <w:t>，隶属于永清县公安局</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，隶属于永清县公安局。</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w:t>
      </w:r>
      <w:r>
        <w:rPr>
          <w:rFonts w:hint="eastAsia" w:ascii="Times New Roman" w:hAnsi="黑体" w:eastAsia="黑体" w:cs="Times New Roman"/>
          <w:sz w:val="32"/>
          <w:szCs w:val="32"/>
          <w:lang w:eastAsia="zh-CN"/>
        </w:rPr>
        <w:t>单位</w:t>
      </w:r>
      <w:r>
        <w:rPr>
          <w:rFonts w:hint="eastAsia" w:ascii="Times New Roman" w:hAnsi="黑体"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楷体_GB2312" w:eastAsia="楷体_GB2312" w:cs="Times New Roman"/>
          <w:b/>
          <w:sz w:val="32"/>
          <w:szCs w:val="32"/>
        </w:rPr>
      </w:pPr>
      <w:r>
        <w:rPr>
          <w:rFonts w:eastAsia="仿宋_GB2312"/>
          <w:kern w:val="2"/>
          <w:sz w:val="32"/>
          <w:szCs w:val="32"/>
          <w:lang w:eastAsia="zh-CN"/>
        </w:rPr>
        <w:t>公安监所管理和安全防范水平不断提升；监所按照相关标准做好硬件设施建设、被监管人员生活、卫生、医疗保障工作；做好监所信息化建设；不断提高监所卫生医疗水平；积极开展深挖犯罪工作，破获各类案件。</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eastAsia="仿宋_GB2312"/>
          <w:kern w:val="2"/>
          <w:sz w:val="32"/>
          <w:szCs w:val="32"/>
          <w:lang w:val="en-US" w:eastAsia="zh-CN"/>
        </w:rPr>
      </w:pPr>
      <w:r>
        <w:rPr>
          <w:rFonts w:hint="eastAsia" w:eastAsia="仿宋_GB2312"/>
          <w:kern w:val="2"/>
          <w:sz w:val="32"/>
          <w:szCs w:val="32"/>
          <w:lang w:val="en-US" w:eastAsia="zh-CN"/>
        </w:rPr>
        <w:t>1、看守所押犯给养费项目</w:t>
      </w:r>
    </w:p>
    <w:p>
      <w:pPr>
        <w:spacing w:line="584" w:lineRule="exact"/>
        <w:ind w:firstLine="640" w:firstLineChars="200"/>
        <w:rPr>
          <w:rFonts w:hint="eastAsia" w:eastAsia="仿宋_GB2312"/>
          <w:kern w:val="2"/>
          <w:sz w:val="32"/>
          <w:szCs w:val="32"/>
          <w:lang w:val="en-US" w:eastAsia="zh-CN"/>
        </w:rPr>
      </w:pPr>
      <w:r>
        <w:rPr>
          <w:rFonts w:hint="eastAsia" w:eastAsia="仿宋_GB2312"/>
          <w:kern w:val="2"/>
          <w:sz w:val="32"/>
          <w:szCs w:val="32"/>
          <w:lang w:val="en-US" w:eastAsia="zh-CN"/>
        </w:rPr>
        <w:t>绩效目标: 通过为在押人员购买衣裤、被褥、床单等日常生活用品及医疗供给，达到保障140余名在押人员基本生活和合法权益。</w:t>
      </w:r>
    </w:p>
    <w:p>
      <w:pPr>
        <w:spacing w:line="584" w:lineRule="exact"/>
        <w:ind w:firstLine="640" w:firstLineChars="200"/>
        <w:rPr>
          <w:rFonts w:hint="eastAsia" w:eastAsia="仿宋_GB2312"/>
          <w:kern w:val="2"/>
          <w:sz w:val="32"/>
          <w:szCs w:val="32"/>
          <w:lang w:val="en-US" w:eastAsia="zh-CN"/>
        </w:rPr>
      </w:pPr>
      <w:r>
        <w:rPr>
          <w:rFonts w:hint="eastAsia" w:eastAsia="仿宋_GB2312"/>
          <w:kern w:val="2"/>
          <w:sz w:val="32"/>
          <w:szCs w:val="32"/>
          <w:lang w:val="en-US" w:eastAsia="zh-CN"/>
        </w:rPr>
        <w:t>绩效指标：保障基本生活的在押人员数≥140人，保障基本生活的在押人员数占在押人员总数的比率=100%，在押人员基本生活给养及时性（按工作计划完成），项目预算总成本数控制在预算范围内≤42.5万元，诉讼案件顺利进行数占所有诉讼案件数的比率=100%，以后年度本项目继续实施的制度保障的健全程度（健全），满意在押人员数占调查总人数的比率≥95%。</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2、</w:t>
      </w:r>
      <w:r>
        <w:rPr>
          <w:rFonts w:hint="eastAsia" w:eastAsia="仿宋_GB2312" w:asciiTheme="minorHAnsi" w:hAnsiTheme="minorHAnsi" w:cstheme="minorBidi"/>
          <w:kern w:val="2"/>
          <w:sz w:val="32"/>
          <w:szCs w:val="32"/>
          <w:lang w:val="uk-UA" w:eastAsia="zh-CN" w:bidi="ar-SA"/>
        </w:rPr>
        <w:t>看守所在押人员伙食费项目</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绩效目标</w:t>
      </w:r>
      <w:r>
        <w:rPr>
          <w:rFonts w:hint="eastAsia" w:eastAsia="仿宋_GB2312" w:asciiTheme="minorHAnsi" w:hAnsiTheme="minorHAnsi"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uk-UA" w:eastAsia="zh-CN" w:bidi="ar-SA"/>
        </w:rPr>
        <w:t>通过为在押人员供给伙食，达到保障</w:t>
      </w:r>
      <w:r>
        <w:rPr>
          <w:rFonts w:hint="eastAsia" w:eastAsia="仿宋_GB2312" w:asciiTheme="minorHAnsi" w:hAnsiTheme="minorHAnsi" w:cstheme="minorBidi"/>
          <w:kern w:val="2"/>
          <w:sz w:val="32"/>
          <w:szCs w:val="32"/>
          <w:lang w:val="en-US" w:eastAsia="zh-CN" w:bidi="ar-SA"/>
        </w:rPr>
        <w:t>140</w:t>
      </w:r>
      <w:r>
        <w:rPr>
          <w:rFonts w:hint="eastAsia" w:eastAsia="仿宋_GB2312" w:asciiTheme="minorHAnsi" w:hAnsiTheme="minorHAnsi" w:cstheme="minorBidi"/>
          <w:kern w:val="2"/>
          <w:sz w:val="32"/>
          <w:szCs w:val="32"/>
          <w:lang w:val="uk-UA" w:eastAsia="zh-CN" w:bidi="ar-SA"/>
        </w:rPr>
        <w:t>余名在押人员月均</w:t>
      </w:r>
      <w:r>
        <w:rPr>
          <w:rFonts w:hint="eastAsia" w:eastAsia="仿宋_GB2312" w:asciiTheme="minorHAnsi" w:hAnsiTheme="minorHAnsi" w:cstheme="minorBidi"/>
          <w:kern w:val="2"/>
          <w:sz w:val="32"/>
          <w:szCs w:val="32"/>
          <w:lang w:val="en-US" w:eastAsia="zh-CN" w:bidi="ar-SA"/>
        </w:rPr>
        <w:t>310</w:t>
      </w:r>
      <w:r>
        <w:rPr>
          <w:rFonts w:hint="eastAsia" w:eastAsia="仿宋_GB2312" w:asciiTheme="minorHAnsi" w:hAnsiTheme="minorHAnsi" w:cstheme="minorBidi"/>
          <w:kern w:val="2"/>
          <w:sz w:val="32"/>
          <w:szCs w:val="32"/>
          <w:lang w:val="uk-UA" w:eastAsia="zh-CN" w:bidi="ar-SA"/>
        </w:rPr>
        <w:t>元的伙食费标准及食物量标准， 保障在押人员的基本人身权益，维护监管场所稳定安全。</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绩效指标：保障在押人员伙食费人数≥</w:t>
      </w:r>
      <w:r>
        <w:rPr>
          <w:rFonts w:hint="eastAsia" w:eastAsia="仿宋_GB2312" w:asciiTheme="minorHAnsi" w:hAnsiTheme="minorHAnsi" w:cstheme="minorBidi"/>
          <w:kern w:val="2"/>
          <w:sz w:val="32"/>
          <w:szCs w:val="32"/>
          <w:lang w:val="en-US" w:eastAsia="zh-CN" w:bidi="ar-SA"/>
        </w:rPr>
        <w:t>140人，保障伙食标准的在押人员数占在押人员总数的比率=100%，在押人员伙食保障及时性（按工作计划完成），项目预算总成本数控制在预算范围内≤56万元，诉讼案件顺利进行数占所有诉讼案件数的比率=100%，以后年度本项目继续实施的制度保障的健全程度（健全），满意在押人员数占调查总人数的比率≥95%。</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3、</w:t>
      </w:r>
      <w:r>
        <w:rPr>
          <w:rFonts w:hint="eastAsia" w:eastAsia="仿宋_GB2312" w:asciiTheme="minorHAnsi" w:hAnsiTheme="minorHAnsi" w:cstheme="minorBidi"/>
          <w:kern w:val="2"/>
          <w:sz w:val="32"/>
          <w:szCs w:val="32"/>
          <w:lang w:val="uk-UA" w:eastAsia="zh-CN" w:bidi="ar-SA"/>
        </w:rPr>
        <w:t>看守所公务费费项目（运转保障）</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绩效目标</w:t>
      </w:r>
      <w:r>
        <w:rPr>
          <w:rFonts w:hint="eastAsia" w:eastAsia="仿宋_GB2312" w:asciiTheme="minorHAnsi" w:hAnsiTheme="minorHAnsi"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uk-UA" w:eastAsia="zh-CN" w:bidi="ar-SA"/>
        </w:rPr>
        <w:t>通过保障</w:t>
      </w:r>
      <w:r>
        <w:rPr>
          <w:rFonts w:hint="eastAsia" w:eastAsia="仿宋_GB2312" w:asciiTheme="minorHAnsi" w:hAnsiTheme="minorHAnsi" w:cstheme="minorBidi"/>
          <w:kern w:val="2"/>
          <w:sz w:val="32"/>
          <w:szCs w:val="32"/>
          <w:lang w:val="en-US" w:eastAsia="zh-CN" w:bidi="ar-SA"/>
        </w:rPr>
        <w:t>140</w:t>
      </w:r>
      <w:r>
        <w:rPr>
          <w:rFonts w:hint="eastAsia" w:eastAsia="仿宋_GB2312" w:asciiTheme="minorHAnsi" w:hAnsiTheme="minorHAnsi" w:cstheme="minorBidi"/>
          <w:kern w:val="2"/>
          <w:sz w:val="32"/>
          <w:szCs w:val="32"/>
          <w:lang w:val="uk-UA" w:eastAsia="zh-CN" w:bidi="ar-SA"/>
        </w:rPr>
        <w:t>名在押人员的教育学习用品，制作证件、标识、标牌、档案印制等，保障看守所日常用电及</w:t>
      </w:r>
      <w:r>
        <w:rPr>
          <w:rFonts w:hint="eastAsia" w:eastAsia="仿宋_GB2312" w:asciiTheme="minorHAnsi" w:hAnsiTheme="minorHAnsi" w:cstheme="minorBidi"/>
          <w:kern w:val="2"/>
          <w:sz w:val="32"/>
          <w:szCs w:val="32"/>
          <w:lang w:val="en-US" w:eastAsia="zh-CN" w:bidi="ar-SA"/>
        </w:rPr>
        <w:t>5351</w:t>
      </w:r>
      <w:r>
        <w:rPr>
          <w:rFonts w:hint="eastAsia" w:eastAsia="仿宋_GB2312" w:asciiTheme="minorHAnsi" w:hAnsiTheme="minorHAnsi" w:cstheme="minorBidi"/>
          <w:kern w:val="2"/>
          <w:sz w:val="32"/>
          <w:szCs w:val="32"/>
          <w:lang w:val="uk-UA" w:eastAsia="zh-CN" w:bidi="ar-SA"/>
        </w:rPr>
        <w:t>平方米室内供暖，达到保障</w:t>
      </w:r>
      <w:r>
        <w:rPr>
          <w:rFonts w:hint="eastAsia" w:eastAsia="仿宋_GB2312" w:asciiTheme="minorHAnsi" w:hAnsiTheme="minorHAnsi" w:cstheme="minorBidi"/>
          <w:kern w:val="2"/>
          <w:sz w:val="32"/>
          <w:szCs w:val="32"/>
          <w:lang w:val="en-US" w:eastAsia="zh-CN" w:bidi="ar-SA"/>
        </w:rPr>
        <w:t>140</w:t>
      </w:r>
      <w:r>
        <w:rPr>
          <w:rFonts w:hint="eastAsia" w:eastAsia="仿宋_GB2312" w:asciiTheme="minorHAnsi" w:hAnsiTheme="minorHAnsi" w:cstheme="minorBidi"/>
          <w:kern w:val="2"/>
          <w:sz w:val="32"/>
          <w:szCs w:val="32"/>
          <w:lang w:val="uk-UA" w:eastAsia="zh-CN" w:bidi="ar-SA"/>
        </w:rPr>
        <w:t>余名在押人员正常生活和合法权益。</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绩效指标：监管教育人员总数≥</w:t>
      </w:r>
      <w:r>
        <w:rPr>
          <w:rFonts w:hint="eastAsia" w:eastAsia="仿宋_GB2312" w:asciiTheme="minorHAnsi" w:hAnsiTheme="minorHAnsi" w:cstheme="minorBidi"/>
          <w:kern w:val="2"/>
          <w:sz w:val="32"/>
          <w:szCs w:val="32"/>
          <w:lang w:val="en-US" w:eastAsia="zh-CN" w:bidi="ar-SA"/>
        </w:rPr>
        <w:t>140人，监管教育人数占总人数比率</w:t>
      </w:r>
      <w:r>
        <w:rPr>
          <w:rFonts w:hint="eastAsia" w:eastAsia="仿宋_GB2312" w:asciiTheme="minorHAnsi" w:hAnsiTheme="minorHAnsi" w:cstheme="minorBidi"/>
          <w:kern w:val="2"/>
          <w:sz w:val="32"/>
          <w:szCs w:val="32"/>
          <w:lang w:val="uk-UA" w:eastAsia="zh-CN" w:bidi="ar-SA"/>
        </w:rPr>
        <w:t>≥</w:t>
      </w:r>
      <w:r>
        <w:rPr>
          <w:rFonts w:hint="eastAsia" w:eastAsia="仿宋_GB2312" w:asciiTheme="minorHAnsi" w:hAnsiTheme="minorHAnsi" w:cstheme="minorBidi"/>
          <w:kern w:val="2"/>
          <w:sz w:val="32"/>
          <w:szCs w:val="32"/>
          <w:lang w:val="en-US" w:eastAsia="zh-CN" w:bidi="ar-SA"/>
        </w:rPr>
        <w:t>95%，监管教育及时性（按工作计划完成），项目预算总成本数控制在预算范围内≤70万元，诉讼案件顺利进行数占所有诉讼案件数的比率=100%，以后年度本项目继续实施的制度保障的健全程度（健全），满意在押人员数占调查总人数的比率≥95%</w:t>
      </w:r>
      <w:r>
        <w:rPr>
          <w:rFonts w:hint="eastAsia" w:eastAsia="仿宋_GB2312" w:asciiTheme="minorHAnsi" w:hAnsiTheme="minorHAnsi" w:cstheme="minorBidi"/>
          <w:kern w:val="2"/>
          <w:sz w:val="32"/>
          <w:szCs w:val="32"/>
          <w:lang w:val="uk-UA" w:eastAsia="zh-CN" w:bidi="ar-SA"/>
        </w:rPr>
        <w:t>。</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4、</w:t>
      </w:r>
      <w:r>
        <w:rPr>
          <w:rFonts w:hint="eastAsia" w:eastAsia="仿宋_GB2312" w:asciiTheme="minorHAnsi" w:hAnsiTheme="minorHAnsi" w:cstheme="minorBidi"/>
          <w:kern w:val="2"/>
          <w:sz w:val="32"/>
          <w:szCs w:val="32"/>
          <w:lang w:val="uk-UA" w:eastAsia="zh-CN" w:bidi="ar-SA"/>
        </w:rPr>
        <w:t>看守所装备购置费项目</w:t>
      </w:r>
      <w:r>
        <w:rPr>
          <w:rFonts w:hint="eastAsia" w:eastAsia="仿宋_GB2312" w:asciiTheme="minorHAnsi" w:hAnsiTheme="minorHAnsi" w:cstheme="minorBidi"/>
          <w:kern w:val="2"/>
          <w:sz w:val="32"/>
          <w:szCs w:val="32"/>
          <w:lang w:val="en-US" w:eastAsia="zh-CN" w:bidi="ar-SA"/>
        </w:rPr>
        <w:t>（运转保障）</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绩效目标</w:t>
      </w:r>
      <w:r>
        <w:rPr>
          <w:rFonts w:hint="eastAsia" w:eastAsia="仿宋_GB2312" w:asciiTheme="minorHAnsi" w:hAnsiTheme="minorHAnsi"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uk-UA" w:eastAsia="zh-CN" w:bidi="ar-SA"/>
        </w:rPr>
        <w:t>通过购置医疗设备</w:t>
      </w:r>
      <w:r>
        <w:rPr>
          <w:rFonts w:hint="eastAsia" w:eastAsia="仿宋_GB2312" w:asciiTheme="minorHAnsi" w:hAnsiTheme="minorHAnsi" w:cstheme="minorBidi"/>
          <w:kern w:val="2"/>
          <w:sz w:val="32"/>
          <w:szCs w:val="32"/>
          <w:lang w:val="en-US" w:eastAsia="zh-CN" w:bidi="ar-SA"/>
        </w:rPr>
        <w:t>6</w:t>
      </w:r>
      <w:r>
        <w:rPr>
          <w:rFonts w:hint="eastAsia" w:eastAsia="仿宋_GB2312" w:asciiTheme="minorHAnsi" w:hAnsiTheme="minorHAnsi" w:cstheme="minorBidi"/>
          <w:kern w:val="2"/>
          <w:sz w:val="32"/>
          <w:szCs w:val="32"/>
          <w:lang w:val="uk-UA" w:eastAsia="zh-CN" w:bidi="ar-SA"/>
        </w:rPr>
        <w:t>台</w:t>
      </w:r>
      <w:r>
        <w:rPr>
          <w:rFonts w:hint="eastAsia" w:eastAsia="仿宋_GB2312" w:asciiTheme="minorHAnsi" w:hAnsiTheme="minorHAnsi" w:cstheme="minorBidi"/>
          <w:kern w:val="2"/>
          <w:sz w:val="32"/>
          <w:szCs w:val="32"/>
          <w:lang w:val="en-US" w:eastAsia="zh-CN" w:bidi="ar-SA"/>
        </w:rPr>
        <w:t>/</w:t>
      </w:r>
      <w:r>
        <w:rPr>
          <w:rFonts w:hint="eastAsia" w:eastAsia="仿宋_GB2312" w:asciiTheme="minorHAnsi" w:hAnsiTheme="minorHAnsi" w:cstheme="minorBidi"/>
          <w:kern w:val="2"/>
          <w:sz w:val="32"/>
          <w:szCs w:val="32"/>
          <w:lang w:val="uk-UA" w:eastAsia="zh-CN" w:bidi="ar-SA"/>
        </w:rPr>
        <w:t>套、办公家具</w:t>
      </w:r>
      <w:r>
        <w:rPr>
          <w:rFonts w:hint="eastAsia" w:eastAsia="仿宋_GB2312" w:asciiTheme="minorHAnsi" w:hAnsiTheme="minorHAnsi" w:cstheme="minorBidi"/>
          <w:kern w:val="2"/>
          <w:sz w:val="32"/>
          <w:szCs w:val="32"/>
          <w:lang w:val="en-US" w:eastAsia="zh-CN" w:bidi="ar-SA"/>
        </w:rPr>
        <w:t>11</w:t>
      </w:r>
      <w:r>
        <w:rPr>
          <w:rFonts w:hint="eastAsia" w:eastAsia="仿宋_GB2312" w:asciiTheme="minorHAnsi" w:hAnsiTheme="minorHAnsi" w:cstheme="minorBidi"/>
          <w:kern w:val="2"/>
          <w:sz w:val="32"/>
          <w:szCs w:val="32"/>
          <w:lang w:val="uk-UA" w:eastAsia="zh-CN" w:bidi="ar-SA"/>
        </w:rPr>
        <w:t>件</w:t>
      </w:r>
      <w:r>
        <w:rPr>
          <w:rFonts w:hint="eastAsia" w:eastAsia="仿宋_GB2312" w:asciiTheme="minorHAnsi" w:hAnsiTheme="minorHAnsi" w:cstheme="minorBidi"/>
          <w:kern w:val="2"/>
          <w:sz w:val="32"/>
          <w:szCs w:val="32"/>
          <w:lang w:val="en-US" w:eastAsia="zh-CN" w:bidi="ar-SA"/>
        </w:rPr>
        <w:t>/</w:t>
      </w:r>
      <w:r>
        <w:rPr>
          <w:rFonts w:hint="eastAsia" w:eastAsia="仿宋_GB2312" w:asciiTheme="minorHAnsi" w:hAnsiTheme="minorHAnsi" w:cstheme="minorBidi"/>
          <w:kern w:val="2"/>
          <w:sz w:val="32"/>
          <w:szCs w:val="32"/>
          <w:lang w:val="uk-UA" w:eastAsia="zh-CN" w:bidi="ar-SA"/>
        </w:rPr>
        <w:t>套等达到保障在押人员生病及时得到治疗，看守所业务正常开展。</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绩效指标：新增购置的数量≥</w:t>
      </w:r>
      <w:r>
        <w:rPr>
          <w:rFonts w:hint="eastAsia" w:eastAsia="仿宋_GB2312" w:asciiTheme="minorHAnsi" w:hAnsiTheme="minorHAnsi" w:cstheme="minorBidi"/>
          <w:kern w:val="2"/>
          <w:sz w:val="32"/>
          <w:szCs w:val="32"/>
          <w:lang w:val="en-US" w:eastAsia="zh-CN" w:bidi="ar-SA"/>
        </w:rPr>
        <w:t>15台/件/套，购置质量合格的数量占购置总数量的比率=100%，购置装备器材通过验收完成的时间（2023年12月），项目预算总成本数控制在预算范围内≤6.5万元，购置装备对业务保障能力的提升情况（提升），购置的装备器材使用年限≥2年, 使用人满意的数量占调查总人数的比率≥95%</w:t>
      </w:r>
      <w:r>
        <w:rPr>
          <w:rFonts w:hint="eastAsia" w:eastAsia="仿宋_GB2312" w:asciiTheme="minorHAnsi" w:hAnsiTheme="minorHAnsi" w:cstheme="minorBidi"/>
          <w:kern w:val="2"/>
          <w:sz w:val="32"/>
          <w:szCs w:val="32"/>
          <w:lang w:val="uk-UA" w:eastAsia="zh-CN" w:bidi="ar-SA"/>
        </w:rPr>
        <w:t>。</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cstheme="minorBidi"/>
          <w:kern w:val="2"/>
          <w:sz w:val="32"/>
          <w:szCs w:val="32"/>
          <w:lang w:val="en-US" w:eastAsia="zh-CN" w:bidi="ar-SA"/>
        </w:rPr>
        <w:t>5、</w:t>
      </w:r>
      <w:r>
        <w:rPr>
          <w:rFonts w:hint="eastAsia" w:eastAsia="仿宋_GB2312" w:asciiTheme="minorHAnsi" w:hAnsiTheme="minorHAnsi" w:cstheme="minorBidi"/>
          <w:kern w:val="2"/>
          <w:sz w:val="32"/>
          <w:szCs w:val="32"/>
          <w:lang w:val="uk-UA" w:eastAsia="zh-CN" w:bidi="ar-SA"/>
        </w:rPr>
        <w:t>看守所装备消耗费项目</w:t>
      </w:r>
      <w:r>
        <w:rPr>
          <w:rFonts w:hint="eastAsia" w:eastAsia="仿宋_GB2312" w:asciiTheme="minorHAnsi" w:hAnsiTheme="minorHAnsi" w:cstheme="minorBidi"/>
          <w:kern w:val="2"/>
          <w:sz w:val="32"/>
          <w:szCs w:val="32"/>
          <w:lang w:val="en-US" w:eastAsia="zh-CN" w:bidi="ar-SA"/>
        </w:rPr>
        <w:t>（运转保障）</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绩效目标</w:t>
      </w:r>
      <w:r>
        <w:rPr>
          <w:rFonts w:hint="eastAsia" w:eastAsia="仿宋_GB2312" w:asciiTheme="minorHAnsi" w:hAnsiTheme="minorHAnsi"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uk-UA" w:eastAsia="zh-CN" w:bidi="ar-SA"/>
        </w:rPr>
        <w:t>通过保障一台</w:t>
      </w:r>
      <w:r>
        <w:rPr>
          <w:rFonts w:hint="eastAsia" w:eastAsia="仿宋_GB2312" w:asciiTheme="minorHAnsi" w:hAnsiTheme="minorHAnsi" w:cstheme="minorBidi"/>
          <w:kern w:val="2"/>
          <w:sz w:val="32"/>
          <w:szCs w:val="32"/>
          <w:lang w:val="en-US" w:eastAsia="zh-CN" w:bidi="ar-SA"/>
        </w:rPr>
        <w:t>17</w:t>
      </w:r>
      <w:r>
        <w:rPr>
          <w:rFonts w:hint="eastAsia" w:eastAsia="仿宋_GB2312" w:asciiTheme="minorHAnsi" w:hAnsiTheme="minorHAnsi" w:cstheme="minorBidi"/>
          <w:kern w:val="2"/>
          <w:sz w:val="32"/>
          <w:szCs w:val="32"/>
          <w:lang w:val="uk-UA" w:eastAsia="zh-CN" w:bidi="ar-SA"/>
        </w:rPr>
        <w:t>人座制式囚车，一台警车，</w:t>
      </w:r>
      <w:r>
        <w:rPr>
          <w:rFonts w:hint="eastAsia" w:eastAsia="仿宋_GB2312" w:asciiTheme="minorHAnsi" w:hAnsiTheme="minorHAnsi" w:cstheme="minorBidi"/>
          <w:kern w:val="2"/>
          <w:sz w:val="32"/>
          <w:szCs w:val="32"/>
          <w:lang w:val="en-US" w:eastAsia="zh-CN" w:bidi="ar-SA"/>
        </w:rPr>
        <w:t>4</w:t>
      </w:r>
      <w:r>
        <w:rPr>
          <w:rFonts w:hint="eastAsia" w:eastAsia="仿宋_GB2312" w:asciiTheme="minorHAnsi" w:hAnsiTheme="minorHAnsi" w:cstheme="minorBidi"/>
          <w:kern w:val="2"/>
          <w:sz w:val="32"/>
          <w:szCs w:val="32"/>
          <w:lang w:val="uk-UA" w:eastAsia="zh-CN" w:bidi="ar-SA"/>
        </w:rPr>
        <w:t>部电话，</w:t>
      </w:r>
      <w:r>
        <w:rPr>
          <w:rFonts w:hint="eastAsia" w:eastAsia="仿宋_GB2312" w:asciiTheme="minorHAnsi" w:hAnsiTheme="minorHAnsi" w:cstheme="minorBidi"/>
          <w:kern w:val="2"/>
          <w:sz w:val="32"/>
          <w:szCs w:val="32"/>
          <w:lang w:val="en-US" w:eastAsia="zh-CN" w:bidi="ar-SA"/>
        </w:rPr>
        <w:t>20</w:t>
      </w:r>
      <w:r>
        <w:rPr>
          <w:rFonts w:hint="eastAsia" w:eastAsia="仿宋_GB2312" w:asciiTheme="minorHAnsi" w:hAnsiTheme="minorHAnsi" w:cstheme="minorBidi"/>
          <w:kern w:val="2"/>
          <w:sz w:val="32"/>
          <w:szCs w:val="32"/>
          <w:lang w:val="uk-UA" w:eastAsia="zh-CN" w:bidi="ar-SA"/>
        </w:rPr>
        <w:t>台电脑、打印机，勤务信息化系统、远程监控系统等</w:t>
      </w:r>
      <w:r>
        <w:rPr>
          <w:rFonts w:hint="eastAsia" w:eastAsia="仿宋_GB2312" w:asciiTheme="minorHAnsi" w:hAnsiTheme="minorHAnsi" w:cstheme="minorBidi"/>
          <w:kern w:val="2"/>
          <w:sz w:val="32"/>
          <w:szCs w:val="32"/>
          <w:lang w:val="en-US" w:eastAsia="zh-CN" w:bidi="ar-SA"/>
        </w:rPr>
        <w:t>5</w:t>
      </w:r>
      <w:r>
        <w:rPr>
          <w:rFonts w:hint="eastAsia" w:eastAsia="仿宋_GB2312" w:asciiTheme="minorHAnsi" w:hAnsiTheme="minorHAnsi" w:cstheme="minorBidi"/>
          <w:kern w:val="2"/>
          <w:sz w:val="32"/>
          <w:szCs w:val="32"/>
          <w:lang w:val="uk-UA" w:eastAsia="zh-CN" w:bidi="ar-SA"/>
        </w:rPr>
        <w:t>大系统设备的运转消耗维护，到达保障监管场所设备的正常运转。</w:t>
      </w:r>
    </w:p>
    <w:p>
      <w:pPr>
        <w:pStyle w:val="23"/>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uk-UA" w:eastAsia="zh-CN" w:bidi="ar-SA"/>
        </w:rPr>
        <w:t>绩效指标：当年维护装备的数量≥</w:t>
      </w:r>
      <w:r>
        <w:rPr>
          <w:rFonts w:hint="eastAsia" w:eastAsia="仿宋_GB2312" w:asciiTheme="minorHAnsi" w:hAnsiTheme="minorHAnsi" w:cstheme="minorBidi"/>
          <w:kern w:val="2"/>
          <w:sz w:val="32"/>
          <w:szCs w:val="32"/>
          <w:lang w:val="en-US" w:eastAsia="zh-CN" w:bidi="ar-SA"/>
        </w:rPr>
        <w:t>30台/件/套，排除故障次数占故障发生次数的比率</w:t>
      </w:r>
      <w:r>
        <w:rPr>
          <w:rFonts w:hint="eastAsia" w:eastAsia="仿宋_GB2312" w:asciiTheme="minorHAnsi" w:hAnsiTheme="minorHAnsi" w:cstheme="minorBidi"/>
          <w:kern w:val="2"/>
          <w:sz w:val="32"/>
          <w:szCs w:val="32"/>
          <w:lang w:val="uk-UA" w:eastAsia="zh-CN" w:bidi="ar-SA"/>
        </w:rPr>
        <w:t>≥</w:t>
      </w:r>
      <w:r>
        <w:rPr>
          <w:rFonts w:hint="eastAsia" w:eastAsia="仿宋_GB2312" w:asciiTheme="minorHAnsi" w:hAnsiTheme="minorHAnsi" w:cstheme="minorBidi"/>
          <w:kern w:val="2"/>
          <w:sz w:val="32"/>
          <w:szCs w:val="32"/>
          <w:lang w:val="en-US" w:eastAsia="zh-CN" w:bidi="ar-SA"/>
        </w:rPr>
        <w:t>95%，各项装备消耗业务保障及时性（按工作计划完成），项目预算总成本数控制在预算范围内≤10万元，对设备进行维护、检测，保障人员人身安全(安全)，以后年度本项目继续实施的制度保障的健全程度（健全），使用人满意的数量占调查总人数的比率≥95%</w:t>
      </w:r>
      <w:r>
        <w:rPr>
          <w:rFonts w:hint="eastAsia" w:eastAsia="仿宋_GB2312" w:asciiTheme="minorHAnsi" w:hAnsiTheme="minorHAnsi" w:cstheme="minorBidi"/>
          <w:kern w:val="2"/>
          <w:sz w:val="32"/>
          <w:szCs w:val="32"/>
          <w:lang w:val="uk-UA" w:eastAsia="zh-CN" w:bidi="ar-SA"/>
        </w:rPr>
        <w:t>。</w:t>
      </w:r>
    </w:p>
    <w:p>
      <w:pPr>
        <w:pStyle w:val="23"/>
        <w:rPr>
          <w:rFonts w:hint="eastAsia" w:eastAsia="仿宋_GB2312" w:asciiTheme="minorHAnsi" w:hAnsiTheme="minorHAnsi" w:cstheme="minorBidi"/>
          <w:kern w:val="2"/>
          <w:sz w:val="32"/>
          <w:szCs w:val="32"/>
          <w:lang w:val="uk-UA" w:eastAsia="zh-CN" w:bidi="ar-SA"/>
        </w:rPr>
      </w:pPr>
      <w:r>
        <w:rPr>
          <w:rFonts w:hint="eastAsia" w:eastAsia="仿宋_GB2312" w:cstheme="minorBidi"/>
          <w:kern w:val="2"/>
          <w:sz w:val="32"/>
          <w:szCs w:val="32"/>
          <w:lang w:val="en-US" w:eastAsia="zh-CN" w:bidi="ar-SA"/>
        </w:rPr>
        <w:t>6、</w:t>
      </w:r>
      <w:r>
        <w:rPr>
          <w:rFonts w:hint="eastAsia" w:eastAsia="仿宋_GB2312" w:asciiTheme="minorHAnsi" w:hAnsiTheme="minorHAnsi" w:cstheme="minorBidi"/>
          <w:kern w:val="2"/>
          <w:sz w:val="32"/>
          <w:szCs w:val="32"/>
          <w:lang w:val="uk-UA" w:eastAsia="zh-CN" w:bidi="ar-SA"/>
        </w:rPr>
        <w:t>看守所运转保障经费项目</w:t>
      </w:r>
    </w:p>
    <w:p>
      <w:pPr>
        <w:pStyle w:val="23"/>
        <w:rPr>
          <w:rFonts w:hint="eastAsia" w:eastAsia="仿宋_GB2312" w:asciiTheme="minorHAnsi" w:hAnsiTheme="minorHAnsi" w:cstheme="minorBidi"/>
          <w:kern w:val="2"/>
          <w:sz w:val="32"/>
          <w:szCs w:val="32"/>
          <w:lang w:val="uk-UA" w:eastAsia="zh-CN" w:bidi="ar-SA"/>
        </w:rPr>
      </w:pPr>
      <w:r>
        <w:rPr>
          <w:rFonts w:hint="eastAsia" w:eastAsia="仿宋_GB2312" w:asciiTheme="minorHAnsi" w:hAnsiTheme="minorHAnsi" w:cstheme="minorBidi"/>
          <w:kern w:val="2"/>
          <w:sz w:val="32"/>
          <w:szCs w:val="32"/>
          <w:lang w:val="uk-UA" w:eastAsia="zh-CN" w:bidi="ar-SA"/>
        </w:rPr>
        <w:t>绩效目标: 通过开展物业服务工作，完成140余名在押人员的伙食制作、日常卫生、基本生活管理等，保障在押人员的的合法权益。</w:t>
      </w:r>
    </w:p>
    <w:p>
      <w:pPr>
        <w:pStyle w:val="23"/>
        <w:rPr>
          <w:rFonts w:hint="eastAsia" w:eastAsia="仿宋_GB2312" w:asciiTheme="minorHAnsi" w:hAnsiTheme="minorHAnsi" w:cstheme="minorBidi"/>
          <w:kern w:val="2"/>
          <w:sz w:val="32"/>
          <w:szCs w:val="32"/>
          <w:lang w:val="uk-UA" w:eastAsia="zh-CN" w:bidi="ar-SA"/>
        </w:rPr>
      </w:pPr>
      <w:r>
        <w:rPr>
          <w:rFonts w:hint="eastAsia" w:eastAsia="仿宋_GB2312" w:asciiTheme="minorHAnsi" w:hAnsiTheme="minorHAnsi" w:cstheme="minorBidi"/>
          <w:kern w:val="2"/>
          <w:sz w:val="32"/>
          <w:szCs w:val="32"/>
          <w:lang w:val="uk-UA" w:eastAsia="zh-CN" w:bidi="ar-SA"/>
        </w:rPr>
        <w:t>绩效指标：保障在押人员数≥140人，保障生活标准的在押人员数占在押人员总数的比率=100%，在押人员生活保障及时性（按工作计划完成），项目预算总成本数控制在预算范围内≤45万元，诉讼案件顺利进行数占所有诉讼案件数的比率=100%，以后年度本项目继续实施的制度保障的健全程度（健全），满意在押人员数占调查总人数的比率≥95%。</w:t>
      </w:r>
    </w:p>
    <w:p>
      <w:pPr>
        <w:spacing w:line="584" w:lineRule="exact"/>
        <w:ind w:firstLine="643" w:firstLineChars="200"/>
        <w:rPr>
          <w:rFonts w:hint="eastAsia" w:ascii="楷体_GB2312" w:eastAsia="楷体_GB2312" w:cs="Times New Roman"/>
          <w:b/>
          <w:sz w:val="32"/>
          <w:szCs w:val="32"/>
          <w:lang w:val="en-US" w:eastAsia="zh-CN"/>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4"/>
        <w:spacing w:line="584" w:lineRule="exact"/>
        <w:ind w:firstLine="641"/>
        <w:rPr>
          <w:rFonts w:hint="eastAsia" w:eastAsia="仿宋_GB2312" w:asciiTheme="minorHAnsi" w:hAnsiTheme="minorHAnsi" w:cstheme="minorBidi"/>
          <w:kern w:val="2"/>
          <w:sz w:val="32"/>
          <w:szCs w:val="32"/>
          <w:lang w:val="uk-UA" w:eastAsia="zh-CN" w:bidi="ar-SA"/>
        </w:rPr>
      </w:pPr>
      <w:r>
        <w:rPr>
          <w:rFonts w:hint="eastAsia" w:eastAsia="仿宋_GB2312" w:asciiTheme="minorHAnsi" w:hAnsiTheme="minorHAnsi" w:cstheme="minorBidi"/>
          <w:kern w:val="2"/>
          <w:sz w:val="32"/>
          <w:szCs w:val="32"/>
          <w:lang w:val="en-US" w:eastAsia="zh-CN" w:bidi="ar-SA"/>
        </w:rPr>
        <w:t>1</w:t>
      </w:r>
      <w:r>
        <w:rPr>
          <w:rFonts w:hint="eastAsia" w:eastAsia="仿宋_GB2312" w:asciiTheme="minorHAnsi" w:hAnsiTheme="minorHAnsi" w:cstheme="minorBidi"/>
          <w:kern w:val="2"/>
          <w:sz w:val="32"/>
          <w:szCs w:val="32"/>
          <w:lang w:val="uk-UA" w:eastAsia="zh-CN" w:bidi="ar-SA"/>
        </w:rPr>
        <w:t>、加强绩效运行监控：为进一步强化预算绩效管理，加强对绩效目标的保质实现。我单位建立健全机制，深入贯彻《预算法》。全面实施预算绩效管理。从监控职责、内容、方式、程序等方面进行有效规范，为绩效运行监控工作有序推进奠定了基础。</w:t>
      </w:r>
    </w:p>
    <w:p>
      <w:pPr>
        <w:pStyle w:val="24"/>
        <w:spacing w:line="584" w:lineRule="exact"/>
        <w:ind w:firstLine="641"/>
        <w:rPr>
          <w:rFonts w:hint="eastAsia" w:eastAsia="仿宋_GB2312" w:asciiTheme="minorHAnsi" w:hAnsiTheme="minorHAnsi" w:cstheme="minorBidi"/>
          <w:kern w:val="2"/>
          <w:sz w:val="32"/>
          <w:szCs w:val="32"/>
          <w:lang w:val="uk-UA" w:eastAsia="zh-CN" w:bidi="ar-SA"/>
        </w:rPr>
      </w:pPr>
      <w:r>
        <w:rPr>
          <w:rFonts w:hint="eastAsia" w:eastAsia="仿宋_GB2312" w:asciiTheme="minorHAnsi" w:hAnsiTheme="minorHAnsi" w:cstheme="minorBidi"/>
          <w:kern w:val="2"/>
          <w:sz w:val="32"/>
          <w:szCs w:val="32"/>
          <w:lang w:val="en-US" w:eastAsia="zh-CN" w:bidi="ar-SA"/>
        </w:rPr>
        <w:t>2</w:t>
      </w:r>
      <w:r>
        <w:rPr>
          <w:rFonts w:hint="eastAsia" w:eastAsia="仿宋_GB2312" w:asciiTheme="minorHAnsi" w:hAnsiTheme="minorHAnsi" w:cstheme="minorBidi"/>
          <w:kern w:val="2"/>
          <w:sz w:val="32"/>
          <w:szCs w:val="32"/>
          <w:lang w:val="uk-UA" w:eastAsia="zh-CN" w:bidi="ar-SA"/>
        </w:rPr>
        <w:t>、做好绩效自评：为了提升财政资金使用效益，单位自身应当建立规章制度，出台相关的文件，对绩效自评工作做出针对性的安排和部署。先突出重点，后实现全覆盖，公开绩效结果，针对评价好的项目，应加大资金，为下一期的绩效评价工作奠定基础。</w:t>
      </w:r>
    </w:p>
    <w:p>
      <w:pPr>
        <w:overflowPunct w:val="0"/>
        <w:adjustRightInd w:val="0"/>
        <w:snapToGrid w:val="0"/>
        <w:spacing w:after="156" w:afterLines="50" w:line="580" w:lineRule="exact"/>
        <w:ind w:firstLine="627" w:firstLineChars="196"/>
        <w:jc w:val="left"/>
        <w:rPr>
          <w:rFonts w:hint="eastAsia" w:eastAsia="仿宋_GB2312" w:asciiTheme="minorHAnsi" w:hAnsiTheme="minorHAnsi" w:cstheme="minorBidi"/>
          <w:kern w:val="2"/>
          <w:sz w:val="32"/>
          <w:szCs w:val="32"/>
          <w:lang w:val="uk-UA" w:eastAsia="zh-CN" w:bidi="ar-SA"/>
        </w:rPr>
      </w:pPr>
      <w:r>
        <w:rPr>
          <w:rFonts w:hint="eastAsia" w:eastAsia="仿宋_GB2312" w:asciiTheme="minorHAnsi" w:hAnsiTheme="minorHAnsi" w:cstheme="minorBidi"/>
          <w:kern w:val="2"/>
          <w:sz w:val="32"/>
          <w:szCs w:val="32"/>
          <w:lang w:val="en-US" w:eastAsia="zh-CN" w:bidi="ar-SA"/>
        </w:rPr>
        <w:t>3</w:t>
      </w:r>
      <w:r>
        <w:rPr>
          <w:rFonts w:hint="eastAsia" w:eastAsia="仿宋_GB2312" w:asciiTheme="minorHAnsi" w:hAnsiTheme="minorHAnsi" w:cstheme="minorBidi"/>
          <w:kern w:val="2"/>
          <w:sz w:val="32"/>
          <w:szCs w:val="32"/>
          <w:lang w:val="uk-UA" w:eastAsia="zh-CN" w:bidi="ar-SA"/>
        </w:rPr>
        <w:t>、加强内部监督：财务监督作为财务工作的一项基本职能，是加强依法理财的一项重保障。我单位经常组织财务人员，对《会计法》进行学习，通过学习，严格遵守各项财物规章制度，做到挂牵的不见钱，管钱的不花钱，不定期聘请我局纪检督查部门进行监督检查，防止各种违法违规问题发生。</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81"/>
        <w:gridCol w:w="1306"/>
        <w:gridCol w:w="1524"/>
        <w:gridCol w:w="2165"/>
        <w:gridCol w:w="3529"/>
        <w:gridCol w:w="861"/>
        <w:gridCol w:w="772"/>
        <w:gridCol w:w="9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6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4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77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26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绩效指标描述</w:t>
            </w:r>
          </w:p>
        </w:tc>
        <w:tc>
          <w:tcPr>
            <w:tcW w:w="90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15" w:type="pct"/>
            <w:vMerge w:val="continue"/>
            <w:tcBorders>
              <w:tl2br w:val="nil"/>
              <w:tr2bl w:val="nil"/>
            </w:tcBorders>
            <w:vAlign w:val="center"/>
          </w:tcPr>
          <w:p/>
        </w:tc>
        <w:tc>
          <w:tcPr>
            <w:tcW w:w="467" w:type="pct"/>
            <w:vMerge w:val="continue"/>
            <w:tcBorders>
              <w:tl2br w:val="nil"/>
              <w:tr2bl w:val="nil"/>
            </w:tcBorders>
            <w:vAlign w:val="center"/>
          </w:tcPr>
          <w:p/>
        </w:tc>
        <w:tc>
          <w:tcPr>
            <w:tcW w:w="545" w:type="pct"/>
            <w:vMerge w:val="continue"/>
            <w:tcBorders>
              <w:tl2br w:val="nil"/>
              <w:tr2bl w:val="nil"/>
            </w:tcBorders>
            <w:vAlign w:val="center"/>
          </w:tcPr>
          <w:p/>
        </w:tc>
        <w:tc>
          <w:tcPr>
            <w:tcW w:w="774" w:type="pct"/>
            <w:vMerge w:val="continue"/>
            <w:tcBorders>
              <w:tl2br w:val="nil"/>
              <w:tr2bl w:val="nil"/>
            </w:tcBorders>
            <w:vAlign w:val="center"/>
          </w:tcPr>
          <w:p/>
        </w:tc>
        <w:tc>
          <w:tcPr>
            <w:tcW w:w="1262" w:type="pct"/>
            <w:vMerge w:val="continue"/>
            <w:tcBorders>
              <w:tl2br w:val="nil"/>
              <w:tr2bl w:val="nil"/>
            </w:tcBorders>
            <w:vAlign w:val="center"/>
          </w:tcPr>
          <w:p/>
        </w:tc>
        <w:tc>
          <w:tcPr>
            <w:tcW w:w="308"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2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15"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color w:val="000000"/>
                <w:sz w:val="18"/>
                <w:szCs w:val="18"/>
              </w:rPr>
              <w:t>安全事故发生数</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default" w:ascii="方正书宋_GBK" w:eastAsia="方正书宋_GBK" w:hAnsiTheme="minorHAnsi" w:cstheme="minorBidi"/>
                <w:kern w:val="2"/>
                <w:sz w:val="21"/>
                <w:szCs w:val="22"/>
                <w:lang w:val="en-US" w:eastAsia="zh-CN" w:bidi="ar-SA"/>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color w:val="000000"/>
                <w:sz w:val="18"/>
                <w:szCs w:val="18"/>
              </w:rPr>
              <w:t>全年安全事故发生数量</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kern w:val="0"/>
                <w:sz w:val="18"/>
                <w:szCs w:val="18"/>
                <w:lang w:val="en-US" w:eastAsia="zh-CN"/>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kern w:val="0"/>
                <w:sz w:val="18"/>
                <w:szCs w:val="18"/>
                <w:lang w:val="en-US" w:eastAsia="zh-CN"/>
              </w:rPr>
              <w:t>0</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kern w:val="0"/>
                <w:sz w:val="18"/>
                <w:szCs w:val="18"/>
                <w:lang w:eastAsia="zh-CN"/>
              </w:rPr>
              <w:t>起</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r>
              <w:rPr>
                <w:rFonts w:hint="eastAsia" w:ascii="仿宋" w:hAnsi="仿宋" w:eastAsia="仿宋" w:cs="仿宋"/>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color w:val="000000"/>
                <w:sz w:val="18"/>
                <w:szCs w:val="18"/>
              </w:rPr>
              <w:t>工作完成率</w:t>
            </w:r>
            <w:r>
              <w:rPr>
                <w:rFonts w:hint="eastAsia" w:ascii="仿宋" w:hAnsi="仿宋" w:eastAsia="仿宋" w:cs="仿宋"/>
                <w:kern w:val="0"/>
                <w:sz w:val="18"/>
                <w:szCs w:val="18"/>
              </w:rPr>
              <w:t>　</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r>
              <w:rPr>
                <w:rFonts w:hint="eastAsia" w:ascii="仿宋" w:hAnsi="仿宋" w:eastAsia="仿宋" w:cs="仿宋"/>
                <w:color w:val="000000"/>
                <w:sz w:val="18"/>
                <w:szCs w:val="18"/>
              </w:rPr>
              <w:t>完成工作任务数占总工作任务数的比率</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color w:val="000000"/>
                <w:sz w:val="18"/>
                <w:szCs w:val="18"/>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val="en-US" w:eastAsia="zh-CN"/>
              </w:rPr>
              <w:t>95</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val="en-US" w:eastAsia="zh-CN"/>
              </w:rPr>
              <w:t>%</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rPr>
              <w:t>　</w:t>
            </w:r>
            <w:r>
              <w:rPr>
                <w:rFonts w:hint="eastAsia" w:ascii="仿宋" w:hAnsi="仿宋" w:eastAsia="仿宋" w:cs="仿宋"/>
                <w:color w:val="000000"/>
                <w:sz w:val="18"/>
                <w:szCs w:val="18"/>
              </w:rPr>
              <w:t>完成时间</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r>
              <w:rPr>
                <w:rFonts w:hint="eastAsia" w:ascii="仿宋" w:hAnsi="仿宋" w:eastAsia="仿宋" w:cs="仿宋"/>
                <w:color w:val="000000"/>
                <w:sz w:val="18"/>
                <w:szCs w:val="18"/>
              </w:rPr>
              <w:t>预算使用完成时间完成　</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val="en-US" w:eastAsia="zh-CN"/>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val="en-US" w:eastAsia="zh-CN"/>
              </w:rPr>
              <w:t>0</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val="en-US" w:eastAsia="zh-CN"/>
              </w:rPr>
              <w:t>2023年12月31日前支付完毕</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color w:val="000000"/>
                <w:sz w:val="18"/>
                <w:szCs w:val="18"/>
              </w:rPr>
              <w:t>预算总成本</w:t>
            </w:r>
            <w:r>
              <w:rPr>
                <w:rFonts w:hint="eastAsia" w:ascii="仿宋" w:hAnsi="仿宋" w:eastAsia="仿宋" w:cs="仿宋"/>
                <w:kern w:val="0"/>
                <w:sz w:val="18"/>
                <w:szCs w:val="18"/>
              </w:rPr>
              <w:t>　</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ascii="方正书宋_GBK" w:eastAsia="方正书宋_GBK"/>
              </w:rPr>
            </w:pPr>
            <w:r>
              <w:rPr>
                <w:rFonts w:hint="eastAsia" w:ascii="仿宋" w:hAnsi="仿宋" w:eastAsia="仿宋" w:cs="仿宋"/>
                <w:color w:val="000000"/>
                <w:sz w:val="18"/>
                <w:szCs w:val="18"/>
              </w:rPr>
              <w:t>预算总成本数</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color w:val="000000"/>
                <w:sz w:val="18"/>
                <w:szCs w:val="18"/>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方正书宋_GBK" w:eastAsia="方正书宋_GBK"/>
                <w:lang w:val="en-US"/>
              </w:rPr>
            </w:pPr>
            <w:r>
              <w:rPr>
                <w:rFonts w:hint="eastAsia" w:ascii="仿宋" w:hAnsi="仿宋" w:eastAsia="仿宋" w:cs="仿宋"/>
                <w:kern w:val="0"/>
                <w:sz w:val="18"/>
                <w:szCs w:val="18"/>
                <w:lang w:val="en-US" w:eastAsia="zh-CN" w:bidi="ar-SA"/>
              </w:rPr>
              <w:t>230.44</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eastAsia="zh-CN"/>
              </w:rPr>
              <w:t>万元</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ascii="方正书宋_GBK" w:eastAsia="方正书宋_GBK"/>
              </w:rPr>
            </w:pPr>
            <w:r>
              <w:rPr>
                <w:rFonts w:hint="eastAsia" w:ascii="仿宋" w:hAnsi="仿宋" w:eastAsia="仿宋" w:cs="仿宋"/>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color w:val="000000"/>
                <w:sz w:val="18"/>
                <w:szCs w:val="18"/>
              </w:rPr>
              <w:t>监管水平提升情况</w:t>
            </w:r>
            <w:r>
              <w:rPr>
                <w:rFonts w:hint="eastAsia" w:ascii="仿宋" w:hAnsi="仿宋" w:eastAsia="仿宋" w:cs="仿宋"/>
                <w:kern w:val="0"/>
                <w:sz w:val="18"/>
                <w:szCs w:val="18"/>
              </w:rPr>
              <w:t>　</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r>
              <w:rPr>
                <w:rFonts w:hint="eastAsia" w:ascii="仿宋" w:hAnsi="仿宋" w:eastAsia="仿宋" w:cs="仿宋"/>
                <w:color w:val="000000"/>
                <w:sz w:val="18"/>
                <w:szCs w:val="18"/>
              </w:rPr>
              <w:t>是否提升了监管水平</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0</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提升</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资金使用率</w:t>
            </w:r>
            <w:r>
              <w:rPr>
                <w:rFonts w:hint="default" w:eastAsia="仿宋_GB2312"/>
                <w:kern w:val="0"/>
                <w:sz w:val="18"/>
                <w:szCs w:val="18"/>
              </w:rPr>
              <w:t>　</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default" w:eastAsia="仿宋_GB2312" w:asciiTheme="minorHAnsi" w:hAnsiTheme="minorHAnsi" w:cstheme="minorBidi"/>
                <w:kern w:val="0"/>
                <w:sz w:val="18"/>
                <w:szCs w:val="18"/>
                <w:lang w:val="en-US" w:eastAsia="zh-CN" w:bidi="ar-SA"/>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资金的使用效率</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kern w:val="0"/>
                <w:sz w:val="18"/>
                <w:szCs w:val="18"/>
                <w:lang w:val="en-US" w:eastAsia="zh-CN" w:bidi="ar-SA"/>
              </w:rPr>
            </w:pPr>
            <w:r>
              <w:rPr>
                <w:rFonts w:hint="eastAsia" w:eastAsiaTheme="minorHAnsi"/>
                <w:color w:val="000000"/>
                <w:sz w:val="15"/>
                <w:szCs w:val="15"/>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kern w:val="0"/>
                <w:sz w:val="18"/>
                <w:szCs w:val="18"/>
                <w:lang w:val="en-US" w:eastAsia="zh-CN" w:bidi="ar-SA"/>
              </w:rPr>
            </w:pPr>
            <w:r>
              <w:rPr>
                <w:rFonts w:hint="eastAsia" w:eastAsia="仿宋_GB2312"/>
                <w:kern w:val="0"/>
                <w:sz w:val="18"/>
                <w:szCs w:val="18"/>
                <w:lang w:val="en-US" w:eastAsia="zh-CN"/>
              </w:rPr>
              <w:t>90</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Times New Roman" w:hAnsi="Times New Roman" w:eastAsia="仿宋_GB2312" w:cs="Times New Roman"/>
                <w:kern w:val="0"/>
                <w:sz w:val="18"/>
                <w:szCs w:val="18"/>
                <w:lang w:val="en-US" w:eastAsia="zh-CN" w:bidi="ar-SA"/>
              </w:rPr>
            </w:pPr>
            <w:r>
              <w:rPr>
                <w:rFonts w:hint="eastAsia" w:eastAsia="仿宋_GB2312"/>
                <w:kern w:val="0"/>
                <w:sz w:val="18"/>
                <w:szCs w:val="18"/>
                <w:lang w:val="en-US" w:eastAsia="zh-CN"/>
              </w:rPr>
              <w:t>%</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54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kern w:val="0"/>
                <w:sz w:val="18"/>
                <w:szCs w:val="18"/>
              </w:rPr>
              <w:t>生态效益保障率</w:t>
            </w:r>
          </w:p>
        </w:tc>
        <w:tc>
          <w:tcPr>
            <w:tcW w:w="77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p>
        </w:tc>
        <w:tc>
          <w:tcPr>
            <w:tcW w:w="1262"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r>
              <w:rPr>
                <w:rFonts w:hint="eastAsia" w:ascii="仿宋" w:hAnsi="仿宋" w:eastAsia="仿宋"/>
                <w:kern w:val="0"/>
                <w:sz w:val="18"/>
                <w:szCs w:val="18"/>
              </w:rPr>
              <w:t>生态效益保障率</w:t>
            </w:r>
          </w:p>
        </w:tc>
        <w:tc>
          <w:tcPr>
            <w:tcW w:w="308"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sz w:val="18"/>
                <w:szCs w:val="18"/>
              </w:rPr>
              <w:t>≥</w:t>
            </w:r>
          </w:p>
        </w:tc>
        <w:tc>
          <w:tcPr>
            <w:tcW w:w="276"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sz w:val="18"/>
                <w:szCs w:val="18"/>
              </w:rPr>
              <w:t>90</w:t>
            </w:r>
          </w:p>
        </w:tc>
        <w:tc>
          <w:tcPr>
            <w:tcW w:w="325" w:type="pct"/>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ascii="仿宋" w:hAnsi="仿宋" w:eastAsia="仿宋"/>
                <w:sz w:val="18"/>
                <w:szCs w:val="18"/>
              </w:rPr>
              <w:t>%</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545" w:type="pct"/>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leftChars="0" w:right="0" w:rightChars="0"/>
              <w:rPr>
                <w:rFonts w:hint="default" w:ascii="方正书宋_GBK" w:eastAsia="方正书宋_GBK" w:hAnsiTheme="minorHAnsi" w:cstheme="minorBidi"/>
                <w:kern w:val="2"/>
                <w:sz w:val="21"/>
                <w:szCs w:val="22"/>
                <w:lang w:val="en-US" w:eastAsia="zh-CN" w:bidi="ar-SA"/>
              </w:rPr>
            </w:pPr>
          </w:p>
        </w:tc>
        <w:tc>
          <w:tcPr>
            <w:tcW w:w="774" w:type="pct"/>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leftChars="0" w:right="0" w:rightChars="0"/>
              <w:rPr>
                <w:rFonts w:hint="default" w:ascii="方正书宋_GBK" w:eastAsia="方正书宋_GBK" w:hAnsiTheme="minorHAnsi" w:cstheme="minorBidi"/>
                <w:kern w:val="2"/>
                <w:sz w:val="21"/>
                <w:szCs w:val="22"/>
                <w:lang w:val="en-US" w:eastAsia="zh-CN" w:bidi="ar-SA"/>
              </w:rPr>
            </w:pPr>
          </w:p>
        </w:tc>
        <w:tc>
          <w:tcPr>
            <w:tcW w:w="1262" w:type="pct"/>
            <w:tcBorders>
              <w:tl2br w:val="nil"/>
              <w:tr2bl w:val="nil"/>
            </w:tcBorders>
            <w:noWrap/>
            <w:vAlign w:val="center"/>
          </w:tcPr>
          <w:p>
            <w:pPr>
              <w:keepNext w:val="0"/>
              <w:keepLines w:val="0"/>
              <w:widowControl/>
              <w:suppressLineNumbers w:val="0"/>
              <w:adjustRightInd w:val="0"/>
              <w:snapToGrid w:val="0"/>
              <w:spacing w:before="0" w:beforeAutospacing="0" w:after="0" w:afterAutospacing="0"/>
              <w:ind w:left="0" w:leftChars="0" w:right="0" w:rightChars="0"/>
              <w:rPr>
                <w:rFonts w:hint="default" w:ascii="方正书宋_GBK" w:eastAsia="方正书宋_GBK" w:hAnsiTheme="minorHAnsi" w:cstheme="minorBidi"/>
                <w:kern w:val="2"/>
                <w:sz w:val="21"/>
                <w:szCs w:val="22"/>
                <w:lang w:val="en-US" w:eastAsia="zh-CN" w:bidi="ar-SA"/>
              </w:rPr>
            </w:pPr>
          </w:p>
        </w:tc>
        <w:tc>
          <w:tcPr>
            <w:tcW w:w="308" w:type="pct"/>
            <w:tcBorders>
              <w:tl2br w:val="nil"/>
              <w:tr2bl w:val="nil"/>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p>
        </w:tc>
        <w:tc>
          <w:tcPr>
            <w:tcW w:w="276" w:type="pct"/>
            <w:tcBorders>
              <w:tl2br w:val="nil"/>
              <w:tr2bl w:val="nil"/>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p>
        </w:tc>
        <w:tc>
          <w:tcPr>
            <w:tcW w:w="325" w:type="pct"/>
            <w:tcBorders>
              <w:tl2br w:val="nil"/>
              <w:tr2bl w:val="nil"/>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方正书宋_GBK" w:eastAsia="方正书宋_GBK" w:hAnsiTheme="minorHAnsi" w:cstheme="minorBidi"/>
                <w:kern w:val="2"/>
                <w:sz w:val="21"/>
                <w:szCs w:val="22"/>
                <w:lang w:val="en-US" w:eastAsia="zh-CN" w:bidi="ar-SA"/>
              </w:rPr>
            </w:pPr>
          </w:p>
        </w:tc>
        <w:tc>
          <w:tcPr>
            <w:tcW w:w="724" w:type="pct"/>
            <w:tcBorders>
              <w:tl2br w:val="nil"/>
              <w:tr2bl w:val="nil"/>
            </w:tcBorders>
            <w:vAlign w:val="center"/>
          </w:tcPr>
          <w:p>
            <w:pPr>
              <w:keepNext w:val="0"/>
              <w:keepLines w:val="0"/>
              <w:widowControl/>
              <w:suppressLineNumbers w:val="0"/>
              <w:adjustRightInd w:val="0"/>
              <w:snapToGrid w:val="0"/>
              <w:spacing w:before="0" w:beforeAutospacing="0" w:after="0" w:afterAutospacing="0"/>
              <w:ind w:left="0" w:leftChars="0" w:right="0" w:rightChars="0"/>
              <w:rPr>
                <w:rFonts w:hint="default" w:ascii="方正书宋_GBK" w:eastAsia="方正书宋_GBK" w:hAnsiTheme="minorHAnsi"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15"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545" w:type="pct"/>
            <w:tcBorders>
              <w:tl2br w:val="nil"/>
              <w:tr2bl w:val="nil"/>
            </w:tcBorders>
            <w:noWrap/>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color w:val="000000"/>
                <w:sz w:val="18"/>
                <w:szCs w:val="18"/>
                <w:lang w:eastAsia="zh-CN"/>
              </w:rPr>
              <w:t>在押人员</w:t>
            </w:r>
            <w:r>
              <w:rPr>
                <w:rFonts w:hint="eastAsia" w:ascii="仿宋" w:hAnsi="仿宋" w:eastAsia="仿宋" w:cs="仿宋"/>
                <w:color w:val="000000"/>
                <w:sz w:val="18"/>
                <w:szCs w:val="18"/>
              </w:rPr>
              <w:t>满意度</w:t>
            </w:r>
            <w:r>
              <w:rPr>
                <w:rFonts w:hint="eastAsia" w:ascii="仿宋" w:hAnsi="仿宋" w:eastAsia="仿宋" w:cs="仿宋"/>
                <w:kern w:val="0"/>
                <w:sz w:val="18"/>
                <w:szCs w:val="18"/>
              </w:rPr>
              <w:t>　</w:t>
            </w:r>
          </w:p>
        </w:tc>
        <w:tc>
          <w:tcPr>
            <w:tcW w:w="774" w:type="pct"/>
            <w:tcBorders>
              <w:tl2br w:val="nil"/>
              <w:tr2bl w:val="nil"/>
            </w:tcBorders>
            <w:noWrap/>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p>
        </w:tc>
        <w:tc>
          <w:tcPr>
            <w:tcW w:w="1262" w:type="pct"/>
            <w:tcBorders>
              <w:tl2br w:val="nil"/>
              <w:tr2bl w:val="nil"/>
            </w:tcBorders>
            <w:noWrap/>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left"/>
              <w:rPr>
                <w:rFonts w:hint="eastAsia" w:ascii="仿宋" w:hAnsi="仿宋" w:eastAsia="仿宋" w:cs="仿宋"/>
                <w:kern w:val="0"/>
                <w:sz w:val="18"/>
                <w:szCs w:val="18"/>
                <w:lang w:val="en-US" w:eastAsia="zh-CN" w:bidi="ar-SA"/>
              </w:rPr>
            </w:pPr>
            <w:r>
              <w:rPr>
                <w:rFonts w:hint="eastAsia" w:ascii="仿宋" w:hAnsi="仿宋" w:eastAsia="仿宋" w:cs="仿宋"/>
                <w:color w:val="000000"/>
                <w:sz w:val="18"/>
                <w:szCs w:val="18"/>
              </w:rPr>
              <w:t>调查满意的人数占调查总人数的比率</w:t>
            </w:r>
          </w:p>
        </w:tc>
        <w:tc>
          <w:tcPr>
            <w:tcW w:w="308"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color w:val="000000"/>
                <w:sz w:val="18"/>
                <w:szCs w:val="18"/>
              </w:rPr>
              <w:t>≧</w:t>
            </w:r>
          </w:p>
        </w:tc>
        <w:tc>
          <w:tcPr>
            <w:tcW w:w="276"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95</w:t>
            </w:r>
          </w:p>
        </w:tc>
        <w:tc>
          <w:tcPr>
            <w:tcW w:w="325"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eastAsia" w:eastAsia="仿宋_GB2312" w:asciiTheme="minorHAnsi" w:hAnsiTheme="minorHAnsi" w:cstheme="minorBidi"/>
                <w:kern w:val="0"/>
                <w:sz w:val="18"/>
                <w:szCs w:val="18"/>
                <w:lang w:val="en-US" w:eastAsia="zh-CN" w:bidi="ar-SA"/>
              </w:rPr>
            </w:pPr>
            <w:r>
              <w:rPr>
                <w:rFonts w:hint="eastAsia" w:eastAsia="仿宋_GB2312"/>
                <w:kern w:val="0"/>
                <w:sz w:val="18"/>
                <w:szCs w:val="18"/>
                <w:lang w:val="en-US" w:eastAsia="zh-CN"/>
              </w:rPr>
              <w:t>%</w:t>
            </w:r>
          </w:p>
        </w:tc>
        <w:tc>
          <w:tcPr>
            <w:tcW w:w="724" w:type="pct"/>
            <w:tcBorders>
              <w:tl2br w:val="nil"/>
              <w:tr2bl w:val="nil"/>
            </w:tcBorders>
            <w:vAlign w:val="center"/>
          </w:tcPr>
          <w:p>
            <w:pPr>
              <w:keepNext w:val="0"/>
              <w:keepLines w:val="0"/>
              <w:widowControl/>
              <w:suppressLineNumbers w:val="0"/>
              <w:overflowPunct w:val="0"/>
              <w:adjustRightInd w:val="0"/>
              <w:snapToGrid w:val="0"/>
              <w:spacing w:before="0" w:beforeAutospacing="0" w:after="0" w:afterAutospacing="0"/>
              <w:ind w:left="0" w:leftChars="0" w:right="0" w:rightChars="0"/>
              <w:jc w:val="center"/>
              <w:rPr>
                <w:rFonts w:hint="default" w:eastAsia="仿宋_GB2312" w:asciiTheme="minorHAnsi" w:hAnsiTheme="minorHAnsi" w:cstheme="minorBidi"/>
                <w:kern w:val="0"/>
                <w:sz w:val="18"/>
                <w:szCs w:val="18"/>
                <w:lang w:val="en-US" w:eastAsia="zh-CN" w:bidi="ar-SA"/>
              </w:rPr>
            </w:pPr>
            <w:r>
              <w:rPr>
                <w:rFonts w:hint="eastAsia" w:eastAsia="仿宋_GB2312"/>
                <w:kern w:val="0"/>
                <w:sz w:val="18"/>
                <w:szCs w:val="18"/>
                <w:lang w:eastAsia="zh-CN"/>
              </w:rPr>
              <w:t>其他标准</w:t>
            </w:r>
          </w:p>
        </w:tc>
      </w:tr>
    </w:tbl>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lang w:eastAsia="zh-CN"/>
        </w:rPr>
        <w:t>看守所公务费项目（运转保障）</w:t>
      </w:r>
      <w:r>
        <w:rPr>
          <w:rFonts w:ascii="Times New Roman" w:hAnsi="Times New Roman" w:eastAsia="仿宋_GB2312" w:cs="Times New Roman"/>
          <w:sz w:val="28"/>
        </w:rPr>
        <w:t>绩效目标表</w:t>
      </w:r>
    </w:p>
    <w:tbl>
      <w:tblPr>
        <w:tblStyle w:val="8"/>
        <w:tblpPr w:leftFromText="180" w:rightFromText="180" w:vertAnchor="text" w:horzAnchor="page" w:tblpX="1457" w:tblpY="4"/>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通过保障140名在押人员的教育学习用品，制作证件、标识、标牌、档案印制等，保障看守所日常用电及5351平方米室内供暖，达到保障140余名在押人员正常生活和合法权益。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监管教育人员总数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监管教育人数占总人数比率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监管教育及时性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按工作计划执行</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≤70万元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保障诉讼案件顺利进行率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诉讼案件顺利进行数占所有诉讼案件数的比率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制度保障健全程度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以后年度本项目继续实施的制度保障的健全程度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健全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在押人员满意度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满意在押人员数占调查总人数的比率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其他标准</w:t>
            </w:r>
          </w:p>
        </w:tc>
      </w:tr>
    </w:tbl>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看守所押犯给养费项目</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1.通过为在押人员购买衣裤、被褥、床单等日常生活用品及医疗供给，达到保障140余名在押人员基本生活和合法权益。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保障基本生活的在押人员数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保障基本生活的在押人员数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在押人员基本生活保障率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保障基本生活的在押人员数占在押人员总数的比率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在押人员基本生活给养及时性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在押人员基本生活给养及时性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按工作计划完成</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≤42.5万元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保障诉讼案件顺利进行率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诉讼案件顺利进行数占所有诉讼案件数的比率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制度保障健全程度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以后年度本项目继续实施的制度保障的健全程度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健全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在押人员满意度 </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满意在押人员数占调查总人数的比率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其他标准</w:t>
            </w:r>
          </w:p>
        </w:tc>
      </w:tr>
    </w:tbl>
    <w:p>
      <w:pPr>
        <w:ind w:firstLine="560" w:firstLineChars="200"/>
        <w:jc w:val="left"/>
        <w:outlineLvl w:val="1"/>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3.看守所运转保障经费</w:t>
      </w:r>
      <w:r>
        <w:rPr>
          <w:rFonts w:hint="eastAsia" w:ascii="Times New Roman" w:hAnsi="Times New Roman" w:eastAsia="仿宋_GB2312" w:cs="Times New Roman"/>
          <w:sz w:val="28"/>
          <w:lang w:eastAsia="zh-CN"/>
        </w:rPr>
        <w:t>项目</w:t>
      </w:r>
      <w:r>
        <w:rPr>
          <w:rFonts w:ascii="Times New Roman" w:hAnsi="Times New Roman" w:eastAsia="仿宋_GB2312" w:cs="Times New Roman"/>
          <w:sz w:val="28"/>
        </w:rPr>
        <w:t>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通过开展物业服务工作，完成140余名在押人员的伙食制作、日常卫生、基本生活管理等，保障在押人员的的合法权益。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保障在押人员人数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保障在押人员人数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在押人员生活保障率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保障生活标准的在押人员数占在押人员总数的比率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在押人员生活保障及时性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在押人员生活保障及时性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按工作计划完成</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≤45万元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保障诉讼案件顺利进行率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诉讼案件顺利进行数占所有诉讼案件数的比率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制度保障健全程度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以后年度本项目继续实施的制度保障的健全程度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健全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满意在押人员数占调查总人数的比率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其他标准</w:t>
            </w:r>
          </w:p>
        </w:tc>
      </w:tr>
    </w:tbl>
    <w:p>
      <w:pPr>
        <w:autoSpaceDE w:val="0"/>
        <w:autoSpaceDN w:val="0"/>
        <w:adjustRightInd w:val="0"/>
        <w:spacing w:line="584" w:lineRule="exact"/>
        <w:ind w:firstLine="640" w:firstLineChars="20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4.看守所在押人员伙食费项目绩效目标表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通过为在押人员供给伙食，达到保障140余名在押人员月均310元的伙食费标准及食物量标准， 保障在押人员的基本人身权益，维护监管场所稳定安全。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保障在押人员伙食费人数</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保障在押人员伙食费人数</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≥140人</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在押人员伙食保障率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保障伙食标准的在押人员数占在押人员总数的比率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在押人员伙食保障及时性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在押人员伙食保障及时性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按工作计划完成</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≤56万元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保障诉讼案件顺利进行率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诉讼案件顺利进行数占所有诉讼案件数的比率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制度保障健全程度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以后年度本项目继续实施的制度保障的健全程度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健全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在押人员满意度                                                                                       </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满意在押人员数占调查总人数的比率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其他标准</w:t>
            </w:r>
          </w:p>
        </w:tc>
      </w:tr>
    </w:tbl>
    <w:p>
      <w:pPr>
        <w:autoSpaceDE w:val="0"/>
        <w:autoSpaceDN w:val="0"/>
        <w:adjustRightInd w:val="0"/>
        <w:spacing w:line="584" w:lineRule="exact"/>
        <w:ind w:firstLine="640" w:firstLineChars="20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5.看守所装备购置费项目（运转保障）绩效目标表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通过购置医疗设备6台/套、办公家具11件/套等达到保障在押人员生病及时得到治疗，看守所业务正常开展。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购置数量（台/件/套）</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新增购置的数量</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≥15台/件/套</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购置质量合格率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购置质量合格的数量占购置总数量的比率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购置装备器材通过验收时间</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购置装备器材通过验收完成的时间</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2023年12月</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≤6.5万元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业务保障能力提升情况</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购置装备对业务保障能力的提升情况</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提升</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装备器材使用年限</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购置的装备器材使用年限</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≥2年</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使用人满意度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使用人满意的数量占调查总人数的比率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其他标准</w:t>
            </w:r>
          </w:p>
        </w:tc>
      </w:tr>
    </w:tbl>
    <w:p>
      <w:pPr>
        <w:autoSpaceDE w:val="0"/>
        <w:autoSpaceDN w:val="0"/>
        <w:adjustRightInd w:val="0"/>
        <w:spacing w:line="584" w:lineRule="exact"/>
        <w:ind w:firstLine="640" w:firstLineChars="200"/>
        <w:jc w:val="left"/>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6.看守所装备消耗费项目（运转保障）绩效目标表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rPr>
              <w:t>通过保障一台17人座制式囚车，一台警车，4部电话，20台电脑、打印机，勤务信息化系统、远程监控系统等5大系统设备的运转消耗维护，到达保障监管场所设备的正常运转。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装备维护数量</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当年维护装备的数量</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≥30台/套</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装备故障排除率</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排除故障次数占故障发生次数的比率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装备消耗业务保障及时性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各项装备消耗业务保障及时性</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按工作计划执行</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项目预算总成本数控制在预算范围内</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≤10万元</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安全性</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对设备进行维护、检测，保障人员人身安全</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健全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可持续影响指标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制度保障健全程度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以后年度本项目继续实施的制度保障的健全程度</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安全</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使用人满意度</w:t>
            </w:r>
          </w:p>
        </w:tc>
        <w:tc>
          <w:tcPr>
            <w:tcW w:w="3402"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使用人满意的数量占调查总人数的比率</w:t>
            </w:r>
          </w:p>
        </w:tc>
        <w:tc>
          <w:tcPr>
            <w:tcW w:w="1843"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≥95%</w:t>
            </w:r>
          </w:p>
        </w:tc>
        <w:tc>
          <w:tcPr>
            <w:tcW w:w="2155" w:type="dxa"/>
            <w:shd w:val="clear" w:color="auto" w:fill="auto"/>
            <w:vAlign w:val="center"/>
          </w:tcPr>
          <w:p>
            <w:pPr>
              <w:pStyle w:val="18"/>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其他标准</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rPr>
      </w:pPr>
      <w:bookmarkStart w:id="0" w:name="_Toc471398468"/>
      <w:r>
        <w:rPr>
          <w:rFonts w:ascii="Times New Roman" w:hAnsi="Times New Roman" w:eastAsia="仿宋_GB2312" w:cs="Times New Roman"/>
          <w:sz w:val="32"/>
          <w:szCs w:val="24"/>
        </w:rPr>
        <w:t>2023年，我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45</w:t>
      </w:r>
      <w:r>
        <w:rPr>
          <w:rFonts w:ascii="Times New Roman" w:hAnsi="Times New Roman" w:eastAsia="仿宋_GB2312" w:cs="Times New Roman"/>
          <w:sz w:val="32"/>
          <w:szCs w:val="24"/>
        </w:rPr>
        <w:t>万元。具体内容见下表。</w:t>
      </w:r>
      <w:bookmarkEnd w:id="0"/>
    </w:p>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outlineLvl w:val="1"/>
        <w:rPr>
          <w:rFonts w:ascii="方正小标宋_GBK" w:eastAsia="方正小标宋_GBK" w:cs="Times New Roman"/>
          <w:sz w:val="32"/>
        </w:rPr>
      </w:pPr>
      <w:r>
        <w:rPr>
          <w:rFonts w:hint="eastAsia"/>
          <w:lang w:eastAsia="zh-CN"/>
        </w:rPr>
        <w:t>河北省</w:t>
      </w:r>
      <w:r>
        <w:t>永清县</w:t>
      </w:r>
      <w:r>
        <w:rPr>
          <w:rFonts w:hint="eastAsia"/>
          <w:lang w:eastAsia="zh-CN"/>
        </w:rPr>
        <w:t>看守所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spacing w:line="240" w:lineRule="auto"/>
            </w:pPr>
            <w:r>
              <w:t>政府采购项目来源</w:t>
            </w:r>
          </w:p>
        </w:tc>
        <w:tc>
          <w:tcPr>
            <w:tcW w:w="1134" w:type="dxa"/>
            <w:vMerge w:val="restart"/>
            <w:vAlign w:val="center"/>
          </w:tcPr>
          <w:p>
            <w:pPr>
              <w:pStyle w:val="16"/>
              <w:spacing w:line="240" w:lineRule="auto"/>
            </w:pPr>
            <w:r>
              <w:t>采购物品名称</w:t>
            </w:r>
          </w:p>
        </w:tc>
        <w:tc>
          <w:tcPr>
            <w:tcW w:w="1134" w:type="dxa"/>
            <w:vMerge w:val="restart"/>
            <w:vAlign w:val="center"/>
          </w:tcPr>
          <w:p>
            <w:pPr>
              <w:pStyle w:val="16"/>
              <w:spacing w:line="240" w:lineRule="auto"/>
            </w:pPr>
            <w:r>
              <w:t>政府采购目录序号</w:t>
            </w:r>
          </w:p>
        </w:tc>
        <w:tc>
          <w:tcPr>
            <w:tcW w:w="709" w:type="dxa"/>
            <w:vMerge w:val="restart"/>
            <w:vAlign w:val="center"/>
          </w:tcPr>
          <w:p>
            <w:pPr>
              <w:pStyle w:val="16"/>
              <w:spacing w:line="240" w:lineRule="auto"/>
            </w:pPr>
            <w:r>
              <w:t>计量  单位</w:t>
            </w:r>
          </w:p>
        </w:tc>
        <w:tc>
          <w:tcPr>
            <w:tcW w:w="850" w:type="dxa"/>
            <w:vMerge w:val="restart"/>
            <w:vAlign w:val="center"/>
          </w:tcPr>
          <w:p>
            <w:pPr>
              <w:pStyle w:val="16"/>
              <w:spacing w:line="240" w:lineRule="auto"/>
            </w:pPr>
            <w:r>
              <w:t>数量</w:t>
            </w:r>
          </w:p>
        </w:tc>
        <w:tc>
          <w:tcPr>
            <w:tcW w:w="850" w:type="dxa"/>
            <w:vMerge w:val="restart"/>
            <w:vAlign w:val="center"/>
          </w:tcPr>
          <w:p>
            <w:pPr>
              <w:pStyle w:val="16"/>
              <w:spacing w:line="240" w:lineRule="auto"/>
            </w:pPr>
            <w:r>
              <w:t>单价</w:t>
            </w:r>
          </w:p>
        </w:tc>
        <w:tc>
          <w:tcPr>
            <w:tcW w:w="7712" w:type="dxa"/>
            <w:gridSpan w:val="8"/>
            <w:vAlign w:val="center"/>
          </w:tcPr>
          <w:p>
            <w:pPr>
              <w:pStyle w:val="16"/>
              <w:spacing w:line="240" w:lineRule="auto"/>
            </w:pPr>
            <w:r>
              <w:t>政府采购金额（当年部门预算安排资金）</w:t>
            </w:r>
          </w:p>
        </w:tc>
        <w:tc>
          <w:tcPr>
            <w:tcW w:w="964" w:type="dxa"/>
            <w:vMerge w:val="restart"/>
            <w:vAlign w:val="center"/>
          </w:tcPr>
          <w:p>
            <w:pPr>
              <w:pStyle w:val="16"/>
              <w:spacing w:line="240" w:lineRule="auto"/>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spacing w:line="240" w:lineRule="auto"/>
            </w:pPr>
            <w:r>
              <w:t>项目名称</w:t>
            </w:r>
          </w:p>
        </w:tc>
        <w:tc>
          <w:tcPr>
            <w:tcW w:w="964" w:type="dxa"/>
            <w:vAlign w:val="center"/>
          </w:tcPr>
          <w:p>
            <w:pPr>
              <w:pStyle w:val="16"/>
              <w:spacing w:line="240" w:lineRule="auto"/>
            </w:pPr>
            <w:r>
              <w:t>预算    资金</w:t>
            </w:r>
          </w:p>
        </w:tc>
        <w:tc>
          <w:tcPr>
            <w:tcW w:w="1134" w:type="dxa"/>
            <w:vMerge w:val="continue"/>
          </w:tcPr>
          <w:p>
            <w:pPr>
              <w:spacing w:line="240" w:lineRule="auto"/>
            </w:pPr>
          </w:p>
        </w:tc>
        <w:tc>
          <w:tcPr>
            <w:tcW w:w="1134" w:type="dxa"/>
            <w:vMerge w:val="continue"/>
          </w:tcPr>
          <w:p>
            <w:pPr>
              <w:spacing w:line="240" w:lineRule="auto"/>
            </w:pPr>
          </w:p>
        </w:tc>
        <w:tc>
          <w:tcPr>
            <w:tcW w:w="709" w:type="dxa"/>
            <w:vMerge w:val="continue"/>
          </w:tcPr>
          <w:p>
            <w:pPr>
              <w:spacing w:line="240" w:lineRule="auto"/>
            </w:pPr>
          </w:p>
        </w:tc>
        <w:tc>
          <w:tcPr>
            <w:tcW w:w="850" w:type="dxa"/>
            <w:vMerge w:val="continue"/>
          </w:tcPr>
          <w:p>
            <w:pPr>
              <w:spacing w:line="240" w:lineRule="auto"/>
            </w:pPr>
          </w:p>
        </w:tc>
        <w:tc>
          <w:tcPr>
            <w:tcW w:w="850" w:type="dxa"/>
            <w:vMerge w:val="continue"/>
          </w:tcPr>
          <w:p>
            <w:pPr>
              <w:spacing w:line="240" w:lineRule="auto"/>
            </w:pPr>
          </w:p>
        </w:tc>
        <w:tc>
          <w:tcPr>
            <w:tcW w:w="964" w:type="dxa"/>
            <w:vAlign w:val="center"/>
          </w:tcPr>
          <w:p>
            <w:pPr>
              <w:pStyle w:val="16"/>
              <w:spacing w:line="240" w:lineRule="auto"/>
            </w:pPr>
            <w:r>
              <w:t>合计</w:t>
            </w:r>
          </w:p>
        </w:tc>
        <w:tc>
          <w:tcPr>
            <w:tcW w:w="964" w:type="dxa"/>
            <w:vAlign w:val="center"/>
          </w:tcPr>
          <w:p>
            <w:pPr>
              <w:pStyle w:val="16"/>
              <w:spacing w:line="240" w:lineRule="auto"/>
            </w:pPr>
            <w:r>
              <w:t>一般公共预算拨款</w:t>
            </w:r>
          </w:p>
        </w:tc>
        <w:tc>
          <w:tcPr>
            <w:tcW w:w="964" w:type="dxa"/>
            <w:vAlign w:val="center"/>
          </w:tcPr>
          <w:p>
            <w:pPr>
              <w:pStyle w:val="16"/>
              <w:spacing w:line="240" w:lineRule="auto"/>
            </w:pPr>
            <w:r>
              <w:t>基金预算拨款</w:t>
            </w:r>
          </w:p>
        </w:tc>
        <w:tc>
          <w:tcPr>
            <w:tcW w:w="964" w:type="dxa"/>
            <w:vAlign w:val="center"/>
          </w:tcPr>
          <w:p>
            <w:pPr>
              <w:pStyle w:val="16"/>
              <w:spacing w:line="240" w:lineRule="auto"/>
            </w:pPr>
            <w:r>
              <w:t>国有资本经营预算拨款</w:t>
            </w:r>
          </w:p>
        </w:tc>
        <w:tc>
          <w:tcPr>
            <w:tcW w:w="964" w:type="dxa"/>
            <w:vAlign w:val="center"/>
          </w:tcPr>
          <w:p>
            <w:pPr>
              <w:pStyle w:val="16"/>
              <w:spacing w:line="240" w:lineRule="auto"/>
            </w:pPr>
            <w:r>
              <w:t>财政专户核拨</w:t>
            </w:r>
          </w:p>
        </w:tc>
        <w:tc>
          <w:tcPr>
            <w:tcW w:w="964" w:type="dxa"/>
            <w:vAlign w:val="center"/>
          </w:tcPr>
          <w:p>
            <w:pPr>
              <w:pStyle w:val="16"/>
              <w:spacing w:line="240" w:lineRule="auto"/>
            </w:pPr>
            <w:r>
              <w:t>单位    资金</w:t>
            </w:r>
          </w:p>
        </w:tc>
        <w:tc>
          <w:tcPr>
            <w:tcW w:w="964" w:type="dxa"/>
            <w:vAlign w:val="center"/>
          </w:tcPr>
          <w:p>
            <w:pPr>
              <w:pStyle w:val="16"/>
              <w:spacing w:line="240" w:lineRule="auto"/>
            </w:pPr>
            <w:r>
              <w:t>财政拨    款结转</w:t>
            </w:r>
          </w:p>
        </w:tc>
        <w:tc>
          <w:tcPr>
            <w:tcW w:w="964" w:type="dxa"/>
            <w:vAlign w:val="center"/>
          </w:tcPr>
          <w:p>
            <w:pPr>
              <w:pStyle w:val="16"/>
              <w:spacing w:line="240" w:lineRule="auto"/>
            </w:pPr>
            <w:r>
              <w:t>非财政    拨款结    转结余</w:t>
            </w:r>
          </w:p>
        </w:tc>
        <w:tc>
          <w:tcPr>
            <w:tcW w:w="964" w:type="dxa"/>
            <w:vMerge w:val="continue"/>
          </w:tcPr>
          <w:p>
            <w:pPr>
              <w:spacing w:line="240" w:lineRule="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240" w:lineRule="auto"/>
            </w:pPr>
            <w:r>
              <w:t>合  计</w:t>
            </w: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1134" w:type="dxa"/>
            <w:vAlign w:val="center"/>
          </w:tcPr>
          <w:p>
            <w:pPr>
              <w:pStyle w:val="22"/>
              <w:spacing w:line="240" w:lineRule="auto"/>
            </w:pPr>
          </w:p>
        </w:tc>
        <w:tc>
          <w:tcPr>
            <w:tcW w:w="1134" w:type="dxa"/>
            <w:vAlign w:val="center"/>
          </w:tcPr>
          <w:p>
            <w:pPr>
              <w:pStyle w:val="22"/>
              <w:spacing w:line="240" w:lineRule="auto"/>
            </w:pPr>
          </w:p>
        </w:tc>
        <w:tc>
          <w:tcPr>
            <w:tcW w:w="709" w:type="dxa"/>
            <w:vAlign w:val="center"/>
          </w:tcPr>
          <w:p>
            <w:pPr>
              <w:pStyle w:val="20"/>
              <w:spacing w:line="240" w:lineRule="auto"/>
            </w:pPr>
          </w:p>
        </w:tc>
        <w:tc>
          <w:tcPr>
            <w:tcW w:w="850" w:type="dxa"/>
            <w:vAlign w:val="center"/>
          </w:tcPr>
          <w:p>
            <w:pPr>
              <w:pStyle w:val="21"/>
              <w:spacing w:line="240" w:lineRule="auto"/>
            </w:pPr>
          </w:p>
        </w:tc>
        <w:tc>
          <w:tcPr>
            <w:tcW w:w="850" w:type="dxa"/>
            <w:vAlign w:val="center"/>
          </w:tcPr>
          <w:p>
            <w:pPr>
              <w:pStyle w:val="21"/>
              <w:spacing w:line="240" w:lineRule="auto"/>
            </w:pP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240" w:lineRule="auto"/>
              <w:rPr>
                <w:rFonts w:hint="eastAsia" w:eastAsia="方正书宋_GBK"/>
                <w:lang w:eastAsia="zh-CN"/>
              </w:rPr>
            </w:pPr>
            <w:r>
              <w:rPr>
                <w:rFonts w:hint="eastAsia"/>
                <w:lang w:eastAsia="zh-CN"/>
              </w:rPr>
              <w:t>看守所运转保障经费项目</w:t>
            </w: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1134" w:type="dxa"/>
            <w:vAlign w:val="center"/>
          </w:tcPr>
          <w:p>
            <w:pPr>
              <w:pStyle w:val="22"/>
              <w:spacing w:line="240" w:lineRule="auto"/>
              <w:rPr>
                <w:rFonts w:hint="eastAsia" w:eastAsia="方正书宋_GBK"/>
                <w:lang w:eastAsia="zh-CN"/>
              </w:rPr>
            </w:pPr>
            <w:r>
              <w:rPr>
                <w:rFonts w:hint="eastAsia"/>
                <w:lang w:eastAsia="zh-CN"/>
              </w:rPr>
              <w:t>物业管理服务</w:t>
            </w:r>
          </w:p>
        </w:tc>
        <w:tc>
          <w:tcPr>
            <w:tcW w:w="1134" w:type="dxa"/>
            <w:vAlign w:val="center"/>
          </w:tcPr>
          <w:p>
            <w:pPr>
              <w:pStyle w:val="22"/>
              <w:spacing w:line="240" w:lineRule="auto"/>
              <w:rPr>
                <w:rFonts w:hint="default" w:eastAsia="方正书宋_GBK"/>
                <w:lang w:val="en-US" w:eastAsia="zh-CN"/>
              </w:rPr>
            </w:pPr>
            <w:r>
              <w:rPr>
                <w:rFonts w:hint="eastAsia"/>
                <w:lang w:val="en-US" w:eastAsia="zh-CN"/>
              </w:rPr>
              <w:t>C21040000</w:t>
            </w:r>
          </w:p>
        </w:tc>
        <w:tc>
          <w:tcPr>
            <w:tcW w:w="709" w:type="dxa"/>
            <w:vAlign w:val="center"/>
          </w:tcPr>
          <w:p>
            <w:pPr>
              <w:pStyle w:val="20"/>
              <w:spacing w:line="240" w:lineRule="auto"/>
              <w:rPr>
                <w:rFonts w:hint="eastAsia" w:eastAsia="方正书宋_GBK"/>
                <w:lang w:eastAsia="zh-CN"/>
              </w:rPr>
            </w:pPr>
            <w:r>
              <w:rPr>
                <w:rFonts w:hint="eastAsia"/>
                <w:lang w:eastAsia="zh-CN"/>
              </w:rPr>
              <w:t>项</w:t>
            </w:r>
          </w:p>
        </w:tc>
        <w:tc>
          <w:tcPr>
            <w:tcW w:w="850" w:type="dxa"/>
            <w:vAlign w:val="center"/>
          </w:tcPr>
          <w:p>
            <w:pPr>
              <w:pStyle w:val="21"/>
              <w:spacing w:line="240" w:lineRule="auto"/>
              <w:rPr>
                <w:rFonts w:hint="eastAsia" w:eastAsia="方正书宋_GBK"/>
                <w:lang w:val="en-US" w:eastAsia="zh-CN"/>
              </w:rPr>
            </w:pPr>
            <w:r>
              <w:rPr>
                <w:rFonts w:hint="eastAsia"/>
                <w:lang w:val="en-US" w:eastAsia="zh-CN"/>
              </w:rPr>
              <w:t>1</w:t>
            </w:r>
          </w:p>
        </w:tc>
        <w:tc>
          <w:tcPr>
            <w:tcW w:w="850" w:type="dxa"/>
            <w:vAlign w:val="center"/>
          </w:tcPr>
          <w:p>
            <w:pPr>
              <w:pStyle w:val="21"/>
              <w:spacing w:line="240" w:lineRule="auto"/>
              <w:rPr>
                <w:rFonts w:hint="default" w:eastAsia="方正书宋_GBK"/>
                <w:lang w:val="en-US" w:eastAsia="zh-CN"/>
              </w:rPr>
            </w:pPr>
            <w:r>
              <w:rPr>
                <w:rFonts w:hint="eastAsia"/>
                <w:lang w:val="en-US" w:eastAsia="zh-CN"/>
              </w:rPr>
              <w:t>45</w:t>
            </w: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pPr>
          </w:p>
        </w:tc>
        <w:tc>
          <w:tcPr>
            <w:tcW w:w="964" w:type="dxa"/>
            <w:vAlign w:val="center"/>
          </w:tcPr>
          <w:p>
            <w:pPr>
              <w:pStyle w:val="21"/>
              <w:spacing w:line="240" w:lineRule="auto"/>
              <w:rPr>
                <w:rFonts w:hint="default" w:eastAsia="方正书宋_GBK"/>
                <w:lang w:val="en-US" w:eastAsia="zh-CN"/>
              </w:rPr>
            </w:pP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spacing w:line="240" w:lineRule="auto"/>
            </w:pPr>
          </w:p>
        </w:tc>
        <w:tc>
          <w:tcPr>
            <w:tcW w:w="964" w:type="dxa"/>
            <w:vAlign w:val="center"/>
          </w:tcPr>
          <w:p>
            <w:pPr>
              <w:pStyle w:val="17"/>
              <w:spacing w:line="240" w:lineRule="auto"/>
            </w:pPr>
          </w:p>
        </w:tc>
        <w:tc>
          <w:tcPr>
            <w:tcW w:w="1134" w:type="dxa"/>
            <w:vAlign w:val="center"/>
          </w:tcPr>
          <w:p>
            <w:pPr>
              <w:pStyle w:val="18"/>
              <w:spacing w:line="240" w:lineRule="auto"/>
            </w:pPr>
          </w:p>
        </w:tc>
        <w:tc>
          <w:tcPr>
            <w:tcW w:w="1134" w:type="dxa"/>
            <w:vAlign w:val="center"/>
          </w:tcPr>
          <w:p>
            <w:pPr>
              <w:pStyle w:val="18"/>
              <w:spacing w:line="240" w:lineRule="auto"/>
            </w:pPr>
          </w:p>
        </w:tc>
        <w:tc>
          <w:tcPr>
            <w:tcW w:w="709" w:type="dxa"/>
            <w:vAlign w:val="center"/>
          </w:tcPr>
          <w:p>
            <w:pPr>
              <w:pStyle w:val="19"/>
              <w:spacing w:line="240" w:lineRule="auto"/>
            </w:pPr>
          </w:p>
        </w:tc>
        <w:tc>
          <w:tcPr>
            <w:tcW w:w="850" w:type="dxa"/>
            <w:vAlign w:val="center"/>
          </w:tcPr>
          <w:p>
            <w:pPr>
              <w:pStyle w:val="17"/>
              <w:spacing w:line="240" w:lineRule="auto"/>
            </w:pPr>
          </w:p>
        </w:tc>
        <w:tc>
          <w:tcPr>
            <w:tcW w:w="850"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c>
          <w:tcPr>
            <w:tcW w:w="964" w:type="dxa"/>
            <w:vAlign w:val="center"/>
          </w:tcPr>
          <w:p>
            <w:pPr>
              <w:pStyle w:val="17"/>
              <w:spacing w:line="240" w:lineRule="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河北省</w:t>
      </w: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lang w:eastAsia="zh-CN"/>
        </w:rPr>
        <w:t>看守所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34.376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6.5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eastAsia="zh-CN"/>
        </w:rPr>
        <w:t>文件柜、沙发、血氧仪、呼吸机、除颤仪</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河北省</w:t>
            </w:r>
            <w:r>
              <w:rPr>
                <w:rFonts w:ascii="Times New Roman" w:hAnsi="Times New Roman" w:eastAsia="仿宋_GB2312" w:cs="Times New Roman"/>
                <w:kern w:val="0"/>
                <w:sz w:val="22"/>
              </w:rPr>
              <w:t>永清县</w:t>
            </w:r>
            <w:r>
              <w:rPr>
                <w:rFonts w:hint="eastAsia" w:ascii="Times New Roman" w:hAnsi="Times New Roman" w:eastAsia="仿宋_GB2312" w:cs="Times New Roman"/>
                <w:kern w:val="0"/>
                <w:sz w:val="22"/>
                <w:lang w:eastAsia="zh-CN"/>
              </w:rPr>
              <w:t>看守所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2年12月31日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34.376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jOTY4ZWVhOTU3NWYzMmQwY2I0MzRiYmZmNzU5MTA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CE0"/>
    <w:rsid w:val="000F0D09"/>
    <w:rsid w:val="00123A3A"/>
    <w:rsid w:val="001245BB"/>
    <w:rsid w:val="001251A3"/>
    <w:rsid w:val="00137B51"/>
    <w:rsid w:val="00143193"/>
    <w:rsid w:val="001601F9"/>
    <w:rsid w:val="00160266"/>
    <w:rsid w:val="001643E8"/>
    <w:rsid w:val="00164641"/>
    <w:rsid w:val="00164B40"/>
    <w:rsid w:val="00176C13"/>
    <w:rsid w:val="00183D1E"/>
    <w:rsid w:val="00184961"/>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3A"/>
    <w:rsid w:val="002C62BC"/>
    <w:rsid w:val="002D3C5F"/>
    <w:rsid w:val="002E0EB8"/>
    <w:rsid w:val="002E4C60"/>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708"/>
    <w:rsid w:val="003D2C2F"/>
    <w:rsid w:val="003D2E03"/>
    <w:rsid w:val="00415C0E"/>
    <w:rsid w:val="00424943"/>
    <w:rsid w:val="00426A46"/>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465EA"/>
    <w:rsid w:val="00651BA2"/>
    <w:rsid w:val="00672D6C"/>
    <w:rsid w:val="00673D76"/>
    <w:rsid w:val="006750E7"/>
    <w:rsid w:val="00677AC3"/>
    <w:rsid w:val="006854F0"/>
    <w:rsid w:val="006B1C4A"/>
    <w:rsid w:val="006B610D"/>
    <w:rsid w:val="006C3E06"/>
    <w:rsid w:val="006C7381"/>
    <w:rsid w:val="006D0030"/>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2763"/>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76FFF"/>
    <w:rsid w:val="00881692"/>
    <w:rsid w:val="008858FF"/>
    <w:rsid w:val="0089075B"/>
    <w:rsid w:val="008A62DA"/>
    <w:rsid w:val="008A6576"/>
    <w:rsid w:val="008A6D3B"/>
    <w:rsid w:val="008B08D9"/>
    <w:rsid w:val="008B3CC5"/>
    <w:rsid w:val="008B52CD"/>
    <w:rsid w:val="008C4AAE"/>
    <w:rsid w:val="008C7C4D"/>
    <w:rsid w:val="008E0AD8"/>
    <w:rsid w:val="008E4261"/>
    <w:rsid w:val="008E70D4"/>
    <w:rsid w:val="008F4662"/>
    <w:rsid w:val="0090563F"/>
    <w:rsid w:val="00905D08"/>
    <w:rsid w:val="009161E4"/>
    <w:rsid w:val="009166B4"/>
    <w:rsid w:val="00923F0E"/>
    <w:rsid w:val="00925753"/>
    <w:rsid w:val="00936DDD"/>
    <w:rsid w:val="00937F8B"/>
    <w:rsid w:val="009425F4"/>
    <w:rsid w:val="00943BD8"/>
    <w:rsid w:val="00950961"/>
    <w:rsid w:val="00951A38"/>
    <w:rsid w:val="009545BB"/>
    <w:rsid w:val="00954B2C"/>
    <w:rsid w:val="0096626E"/>
    <w:rsid w:val="00966C5C"/>
    <w:rsid w:val="00973104"/>
    <w:rsid w:val="009750F8"/>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4188"/>
    <w:rsid w:val="00CD52C7"/>
    <w:rsid w:val="00CE01BA"/>
    <w:rsid w:val="00CE143B"/>
    <w:rsid w:val="00CE3A91"/>
    <w:rsid w:val="00D00653"/>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381D"/>
    <w:rsid w:val="00E167C7"/>
    <w:rsid w:val="00E55B78"/>
    <w:rsid w:val="00E66527"/>
    <w:rsid w:val="00E74313"/>
    <w:rsid w:val="00E76361"/>
    <w:rsid w:val="00E84020"/>
    <w:rsid w:val="00EB53A2"/>
    <w:rsid w:val="00EB7A80"/>
    <w:rsid w:val="00EC17CA"/>
    <w:rsid w:val="00EC47F6"/>
    <w:rsid w:val="00EC797B"/>
    <w:rsid w:val="00ED0C47"/>
    <w:rsid w:val="00EE6D6D"/>
    <w:rsid w:val="00EF08C9"/>
    <w:rsid w:val="00EF535E"/>
    <w:rsid w:val="00F10A48"/>
    <w:rsid w:val="00F15CD2"/>
    <w:rsid w:val="00F22ECF"/>
    <w:rsid w:val="00F36922"/>
    <w:rsid w:val="00F471F7"/>
    <w:rsid w:val="00F47C8F"/>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49D3B67"/>
    <w:rsid w:val="06D25D4A"/>
    <w:rsid w:val="070A5982"/>
    <w:rsid w:val="0A782ED2"/>
    <w:rsid w:val="0C6B18E3"/>
    <w:rsid w:val="10BB15FD"/>
    <w:rsid w:val="12AD31C8"/>
    <w:rsid w:val="13855EF2"/>
    <w:rsid w:val="142825B6"/>
    <w:rsid w:val="23440B46"/>
    <w:rsid w:val="244A4D1A"/>
    <w:rsid w:val="25535E50"/>
    <w:rsid w:val="2745797B"/>
    <w:rsid w:val="372413FB"/>
    <w:rsid w:val="3AB25844"/>
    <w:rsid w:val="3DE07E9C"/>
    <w:rsid w:val="519F7BA4"/>
    <w:rsid w:val="55E664D3"/>
    <w:rsid w:val="584738BF"/>
    <w:rsid w:val="5BC8375F"/>
    <w:rsid w:val="668C325E"/>
    <w:rsid w:val="6C502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6520</Words>
  <Characters>6848</Characters>
  <Lines>24</Lines>
  <Paragraphs>6</Paragraphs>
  <TotalTime>33</TotalTime>
  <ScaleCrop>false</ScaleCrop>
  <LinksUpToDate>false</LinksUpToDate>
  <CharactersWithSpaces>7087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2023-02-07T08:07:00Z</dcterms:created>
  <dc:creator>guest</dc:creator>
  <cp:lastModifiedBy>Administrator</cp:lastModifiedBy>
  <cp:lastPrinted>2022-01-26T02:42:00Z</cp:lastPrinted>
  <dcterms:modified xsi:type="dcterms:W3CDTF">2023-04-21T08:19:31Z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246DB42F48DC405096E51DE6C63322A1</vt:lpwstr>
  </property>
</Properties>
</file>