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85" w:rsidRDefault="00DB2C85">
      <w:pPr>
        <w:spacing w:line="584" w:lineRule="exact"/>
        <w:ind w:firstLineChars="200" w:firstLine="880"/>
        <w:jc w:val="center"/>
        <w:rPr>
          <w:rFonts w:ascii="Times New Roman" w:eastAsia="仿宋_GB2312" w:hAnsi="Times New Roman" w:cs="Times New Roman"/>
          <w:sz w:val="44"/>
          <w:szCs w:val="44"/>
        </w:rPr>
      </w:pPr>
    </w:p>
    <w:p w:rsidR="00DB2C85" w:rsidRDefault="00161D21">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w:t>
      </w:r>
      <w:r>
        <w:rPr>
          <w:rFonts w:ascii="Times New Roman" w:eastAsia="方正小标宋简体" w:hAnsi="Times New Roman" w:cs="Times New Roman" w:hint="eastAsia"/>
          <w:sz w:val="44"/>
          <w:szCs w:val="44"/>
        </w:rPr>
        <w:t>自然资源和规划局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DB2C85" w:rsidRDefault="00DB2C85">
      <w:pPr>
        <w:spacing w:line="584" w:lineRule="exact"/>
        <w:ind w:firstLineChars="200" w:firstLine="880"/>
        <w:jc w:val="center"/>
        <w:rPr>
          <w:rFonts w:ascii="Times New Roman" w:eastAsia="仿宋_GB2312" w:hAnsi="Times New Roman" w:cs="Times New Roman"/>
          <w:sz w:val="44"/>
          <w:szCs w:val="44"/>
        </w:rPr>
      </w:pP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按照《预算法》、《地方预决算公开操作规程》和《河北省省级预算公开办法》规定，现将永清县</w:t>
      </w:r>
      <w:r>
        <w:rPr>
          <w:rFonts w:ascii="Times New Roman" w:eastAsia="仿宋_GB2312" w:hAnsi="Times New Roman" w:cs="Times New Roman" w:hint="eastAsia"/>
          <w:sz w:val="32"/>
          <w:szCs w:val="32"/>
        </w:rPr>
        <w:t>自然资源和规划局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年部门预算公开如下：</w:t>
      </w:r>
    </w:p>
    <w:p w:rsidR="00DB2C85" w:rsidRDefault="00161D21">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DB2C85" w:rsidRDefault="00161D21" w:rsidP="005256B4">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根据《永清县自然资源和规划局职能配置、内设机构和人员编制规定》，</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永清县自然资源和规划局的主要职责是：</w:t>
      </w: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贯彻落实党中央、省委、市委和县委关于自然资源工作的方针政策和决策部署，坚持和加强党对自然资源工作的集中统一领导。主要职责是：　　（一）履行全民所有土地、矿产、森林、草原、湿地、水等自然资源资产所有者职责和所有国土空间用途管制职责。拟订自然资源和国土空间规划及测绘等地方政策、政府规章草案，监督检查自然资源和国土空间规划及测绘等法律法规的执行情况。　　（二）负责全县自然资源调查监测评价。贯彻执行国家自然资源调查监测评价的指标体系、统计标准和自然资源调查监测评价制度。实施自然资源基础调查、专项调查和监测。负责自然</w:t>
      </w:r>
      <w:r>
        <w:rPr>
          <w:rFonts w:ascii="Times New Roman" w:eastAsia="仿宋_GB2312" w:hAnsi="Times New Roman" w:cs="Times New Roman" w:hint="eastAsia"/>
          <w:sz w:val="32"/>
          <w:szCs w:val="32"/>
        </w:rPr>
        <w:t>资源调查监测评价成果的监督管理和信息发</w:t>
      </w:r>
      <w:r>
        <w:rPr>
          <w:rFonts w:ascii="Times New Roman" w:eastAsia="仿宋_GB2312" w:hAnsi="Times New Roman" w:cs="Times New Roman" w:hint="eastAsia"/>
          <w:sz w:val="32"/>
          <w:szCs w:val="32"/>
        </w:rPr>
        <w:lastRenderedPageBreak/>
        <w:t>布。</w:t>
      </w: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负责全县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　　（五）负责全县自然资源的合理开发利用。组织拟订自然资源发展规划，贯彻国家自然资源开发利用标准并组织实施，建立政府公示自然资源价格体系，组织开展自然资源分等定级价格评估，开展自然资源利用评价考核，</w:t>
      </w:r>
      <w:r>
        <w:rPr>
          <w:rFonts w:ascii="Times New Roman" w:eastAsia="仿宋_GB2312" w:hAnsi="Times New Roman" w:cs="Times New Roman" w:hint="eastAsia"/>
          <w:sz w:val="32"/>
          <w:szCs w:val="32"/>
        </w:rPr>
        <w:t>指导节约集约利用。负责自然资源市场监管。组织落实自然资源管理涉及宏观调控、区域协调和城乡统筹的政策措施。</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六）负责建立全县空间规划体系并监督实施。推进主体功能区战略和制度，组织编制并监督实施全县国土空间规划和相关专项规划。负责编制城市控制性详细规划和城市设计。开展国土空间开发适宜性评价，建立国土空间规划实施监测、评估和预警体系。组织划定生态保护红线、永久基本农田、城镇开发边界等控制线，构建节约资源和保护环境的生产、生活、生态空间布局。负责县城乡规划审议委员会日常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（七）负责建立健</w:t>
      </w:r>
      <w:r>
        <w:rPr>
          <w:rFonts w:ascii="Times New Roman" w:eastAsia="仿宋_GB2312" w:hAnsi="Times New Roman" w:cs="Times New Roman" w:hint="eastAsia"/>
          <w:sz w:val="32"/>
          <w:szCs w:val="32"/>
        </w:rPr>
        <w:lastRenderedPageBreak/>
        <w:t>全国土空</w:t>
      </w:r>
      <w:r>
        <w:rPr>
          <w:rFonts w:ascii="Times New Roman" w:eastAsia="仿宋_GB2312" w:hAnsi="Times New Roman" w:cs="Times New Roman" w:hint="eastAsia"/>
          <w:sz w:val="32"/>
          <w:szCs w:val="32"/>
        </w:rPr>
        <w:t>间用途管制制度，研究拟订城乡规划政策并监督实施。参与城市重大建设项目前期论证，承担建设项目用地选址、建设用地、建设工程及临时建设的规划管理工作。负责土地等自然资源年度利用计划管理工作。负责土地等国土空间用途转用工作。负责土地征收征用管理。　　（八）负责统筹全县国土空间生态修复。牵头组织编制国土空间生态修复规划并实施有关生态修复重大工程。负责国土空间综合整治、土地整理复垦、矿山地质环境恢复治理和湿地、自然保护地、草原等生态保护修复工作。牵头建立和实施生态保护补偿制度，制定合理利用社会资金进行生态修复的政策措施</w:t>
      </w:r>
      <w:r>
        <w:rPr>
          <w:rFonts w:ascii="Times New Roman" w:eastAsia="仿宋_GB2312" w:hAnsi="Times New Roman" w:cs="Times New Roman" w:hint="eastAsia"/>
          <w:sz w:val="32"/>
          <w:szCs w:val="32"/>
        </w:rPr>
        <w:t>，提出重大备选项目。　　（九）负责组织实施最严格的耕地保护制度。贯彻落实耕地保护政策，负责耕地数量、质量、生态保护。组织实施耕地保护责任目标考核和永久基本农田特殊保护。负责落实耕地占补平衡制度，监督占用耕地补偿制度执行情况。</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（十）负责管理全县地质勘查行业和地质工作。编制地质勘查规划并监督检查执行情况。管理县级地质勘查项目。组织实施重大地质矿产勘查专项。负责古生物化石的监督管理。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（十一）负责全县矿产资源管理工作。负责矿产资源储量管理及压覆矿产资源管理。负责矿业权管理。会同有关部门负责落实保护性</w:t>
      </w:r>
      <w:r>
        <w:rPr>
          <w:rFonts w:ascii="Times New Roman" w:eastAsia="仿宋_GB2312" w:hAnsi="Times New Roman" w:cs="Times New Roman" w:hint="eastAsia"/>
          <w:sz w:val="32"/>
          <w:szCs w:val="32"/>
        </w:rPr>
        <w:t>开采的特定矿种、优势矿产的调控及相关管理工作。监督指导矿产资源合理利用和保护。</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（十二）负责全县测绘地理信息管理工作。负责基础测绘和测绘行业管理。负责测绘资质资格与信用管理，监督管理地理信息安全和市场秩序。负责地理信息公共服务管理。负责测量标志保护。</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（十三）负责组织全县造林绿化工作。指导公益林和商品林的培育，指导、监督全民义务植树、城乡绿化工作。指导林</w:t>
      </w:r>
      <w:r>
        <w:rPr>
          <w:rFonts w:ascii="Times New Roman" w:eastAsia="仿宋_GB2312" w:hAnsi="Times New Roman" w:cs="Times New Roman" w:hint="eastAsia"/>
          <w:sz w:val="32"/>
          <w:szCs w:val="32"/>
        </w:rPr>
        <w:lastRenderedPageBreak/>
        <w:t>业有害生物防治、检疫工作。承担林业应对气候变化的相关工作。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（十四）负责全县森林、草原、湿地资源的监督管理。监督和管理全县森林采伐限额的使</w:t>
      </w:r>
      <w:r>
        <w:rPr>
          <w:rFonts w:ascii="Times New Roman" w:eastAsia="仿宋_GB2312" w:hAnsi="Times New Roman" w:cs="Times New Roman" w:hint="eastAsia"/>
          <w:sz w:val="32"/>
          <w:szCs w:val="32"/>
        </w:rPr>
        <w:t>用。负责林地管理，拟订全县林地保护利用规划并组织实施，指导全县公益林划定和管理工作。拟订全县湿地保护规划和相关地方标准并组织实施，监督管理湿地的开发利用。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五）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（十六）负责全县陆生野生动植物资源监督管理。组织开展陆生野生动植物资源调查。指导全县陆生野生动植物的救护繁育、栖息地恢复发展、疫源疫病监测</w:t>
      </w:r>
      <w:r>
        <w:rPr>
          <w:rFonts w:ascii="Times New Roman" w:eastAsia="仿宋_GB2312" w:hAnsi="Times New Roman" w:cs="Times New Roman" w:hint="eastAsia"/>
          <w:sz w:val="32"/>
          <w:szCs w:val="32"/>
        </w:rPr>
        <w:t>，监督管理全县陆生野生动植物猎捕或采集、驯养繁殖或培植、经营利用，按分工监督管理野生动植物进出口。</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七）负责监督管理全县各类自然保护地。拟订全县各类自然保护地规划和相关地方标准。承办国家公园规划、管理和监督，负责上级委托县政府代理行使所有权的国家公园等自然保护地的自然资源资产管理和国土空间用途管制。提出新建、调整各类县级以上自然保护地的审核建议并按程序报批。组织申报世界自然遗产，会同有关部门申报世界自然与文化双重遗产。负责全县生物多样性保护相关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（十八）负责推进全县林业和草原改革相关工</w:t>
      </w:r>
      <w:r>
        <w:rPr>
          <w:rFonts w:ascii="Times New Roman" w:eastAsia="仿宋_GB2312" w:hAnsi="Times New Roman" w:cs="Times New Roman" w:hint="eastAsia"/>
          <w:sz w:val="32"/>
          <w:szCs w:val="32"/>
        </w:rPr>
        <w:t>作。拟订集体林权制度、国有林场、草原等重大改革意见并监督实施。拟订农村林业发展、维护林业经营者合法权益的政策措施，指导监督农村林地承包经营工作。开展退耕（牧）还林还草，负责天然林保护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（十九）拟订全县林业和草原资源优化配置及木材</w:t>
      </w:r>
      <w:r>
        <w:rPr>
          <w:rFonts w:ascii="Times New Roman" w:eastAsia="仿宋_GB2312" w:hAnsi="Times New Roman" w:cs="Times New Roman" w:hint="eastAsia"/>
          <w:sz w:val="32"/>
          <w:szCs w:val="32"/>
        </w:rPr>
        <w:lastRenderedPageBreak/>
        <w:t>利用政策，拟订相关林业产业地方标准并监督实施，组织、指导林产品质量监督，指导生态扶贫相关工作。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（二十）指导全县国有林场基本建设和发展，组织开展林木种子、草种种质资源普查，组织建立种质资源库，负责良种选育推广，管理林木种苗、草种生产经营行为，监管林木种苗、草种质量。</w:t>
      </w:r>
      <w:r>
        <w:rPr>
          <w:rFonts w:ascii="Times New Roman" w:eastAsia="仿宋_GB2312" w:hAnsi="Times New Roman" w:cs="Times New Roman" w:hint="eastAsia"/>
          <w:sz w:val="32"/>
          <w:szCs w:val="32"/>
        </w:rPr>
        <w:t>监督管理林业和草原生物种质资源、转基因生物安全、植物新品种保护。</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二十一）推动全县自然资源领域科技发展。制定并实施自然资源领域科技创新发展和人才培养规划和计划。贯彻执行技术标准、规程规范。组织实施重大科技工程及创新能力建设，推进自然资源信息化和信息资料的公共服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（二十二）开展全县自然资源国际合作。组织开展自然资源领域对外交流合作。承担有关国际公约履约工作。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（二十三）查处全县自然资源开发利用和国土空间规划及测绘重大违法案件，负责行政执法工作。</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（二十四）完成县委、县政府交办的其</w:t>
      </w:r>
      <w:r>
        <w:rPr>
          <w:rFonts w:ascii="Times New Roman" w:eastAsia="仿宋_GB2312" w:hAnsi="Times New Roman" w:cs="Times New Roman" w:hint="eastAsia"/>
          <w:sz w:val="32"/>
          <w:szCs w:val="32"/>
        </w:rPr>
        <w:t>他任务。</w:t>
      </w:r>
    </w:p>
    <w:p w:rsidR="00DB2C85" w:rsidRDefault="00161D21" w:rsidP="005256B4">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DB2C85" w:rsidRDefault="00161D21">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DB2C85">
        <w:trPr>
          <w:trHeight w:val="584"/>
          <w:tblHeader/>
          <w:jc w:val="center"/>
        </w:trPr>
        <w:tc>
          <w:tcPr>
            <w:tcW w:w="4443" w:type="dxa"/>
            <w:vMerge w:val="restart"/>
            <w:shd w:val="clear" w:color="auto" w:fill="auto"/>
            <w:vAlign w:val="center"/>
          </w:tcPr>
          <w:p w:rsidR="00DB2C85" w:rsidRDefault="00161D2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DB2C85" w:rsidRDefault="00161D2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DB2C85" w:rsidRDefault="00161D2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DB2C85" w:rsidRDefault="00161D2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DB2C85">
        <w:trPr>
          <w:trHeight w:val="584"/>
          <w:tblHeader/>
          <w:jc w:val="center"/>
        </w:trPr>
        <w:tc>
          <w:tcPr>
            <w:tcW w:w="4443" w:type="dxa"/>
            <w:vMerge/>
            <w:shd w:val="clear" w:color="auto" w:fill="auto"/>
            <w:vAlign w:val="center"/>
          </w:tcPr>
          <w:p w:rsidR="00DB2C85" w:rsidRDefault="00DB2C85"/>
        </w:tc>
        <w:tc>
          <w:tcPr>
            <w:tcW w:w="1134" w:type="dxa"/>
            <w:vMerge/>
            <w:shd w:val="clear" w:color="auto" w:fill="auto"/>
            <w:vAlign w:val="center"/>
          </w:tcPr>
          <w:p w:rsidR="00DB2C85" w:rsidRDefault="00DB2C85"/>
        </w:tc>
        <w:tc>
          <w:tcPr>
            <w:tcW w:w="1276" w:type="dxa"/>
            <w:vMerge/>
            <w:shd w:val="clear" w:color="auto" w:fill="auto"/>
            <w:vAlign w:val="center"/>
          </w:tcPr>
          <w:p w:rsidR="00DB2C85" w:rsidRDefault="00DB2C85"/>
        </w:tc>
        <w:tc>
          <w:tcPr>
            <w:tcW w:w="2902" w:type="dxa"/>
            <w:vMerge/>
            <w:shd w:val="clear" w:color="auto" w:fill="auto"/>
            <w:vAlign w:val="center"/>
          </w:tcPr>
          <w:p w:rsidR="00DB2C85" w:rsidRDefault="00DB2C85"/>
        </w:tc>
      </w:tr>
      <w:tr w:rsidR="00DB2C85">
        <w:trPr>
          <w:trHeight w:val="227"/>
          <w:jc w:val="center"/>
        </w:trPr>
        <w:tc>
          <w:tcPr>
            <w:tcW w:w="4443" w:type="dxa"/>
            <w:shd w:val="clear" w:color="auto" w:fill="auto"/>
            <w:vAlign w:val="center"/>
          </w:tcPr>
          <w:p w:rsidR="00DB2C85" w:rsidRDefault="00161D21">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永清县自然资源和规划局</w:t>
            </w:r>
          </w:p>
        </w:tc>
        <w:tc>
          <w:tcPr>
            <w:tcW w:w="1134" w:type="dxa"/>
            <w:shd w:val="clear" w:color="auto" w:fill="auto"/>
            <w:vAlign w:val="center"/>
          </w:tcPr>
          <w:p w:rsidR="00DB2C85" w:rsidRDefault="00161D21">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DB2C85" w:rsidRDefault="00161D21">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DB2C85" w:rsidRDefault="00161D21">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r w:rsidR="00DB2C85">
        <w:trPr>
          <w:trHeight w:val="227"/>
          <w:jc w:val="center"/>
        </w:trPr>
        <w:tc>
          <w:tcPr>
            <w:tcW w:w="4443" w:type="dxa"/>
            <w:shd w:val="clear" w:color="auto" w:fill="auto"/>
            <w:vAlign w:val="center"/>
          </w:tcPr>
          <w:p w:rsidR="00DB2C85" w:rsidRDefault="00DB2C85">
            <w:pPr>
              <w:spacing w:line="584" w:lineRule="exact"/>
              <w:jc w:val="left"/>
              <w:rPr>
                <w:rFonts w:ascii="Times New Roman" w:eastAsia="仿宋_GB2312" w:hAnsi="Times New Roman" w:cs="Times New Roman"/>
              </w:rPr>
            </w:pPr>
          </w:p>
        </w:tc>
        <w:tc>
          <w:tcPr>
            <w:tcW w:w="1134" w:type="dxa"/>
            <w:shd w:val="clear" w:color="auto" w:fill="auto"/>
            <w:vAlign w:val="center"/>
          </w:tcPr>
          <w:p w:rsidR="00DB2C85" w:rsidRDefault="00DB2C85">
            <w:pPr>
              <w:spacing w:line="584" w:lineRule="exact"/>
              <w:jc w:val="center"/>
              <w:rPr>
                <w:rFonts w:ascii="Times New Roman" w:eastAsia="仿宋_GB2312" w:hAnsi="Times New Roman" w:cs="Times New Roman"/>
              </w:rPr>
            </w:pPr>
          </w:p>
        </w:tc>
        <w:tc>
          <w:tcPr>
            <w:tcW w:w="1276" w:type="dxa"/>
            <w:shd w:val="clear" w:color="auto" w:fill="auto"/>
            <w:vAlign w:val="center"/>
          </w:tcPr>
          <w:p w:rsidR="00DB2C85" w:rsidRDefault="00DB2C85">
            <w:pPr>
              <w:spacing w:line="584" w:lineRule="exact"/>
              <w:jc w:val="center"/>
              <w:rPr>
                <w:rFonts w:ascii="Times New Roman" w:eastAsia="仿宋_GB2312" w:hAnsi="Times New Roman" w:cs="Times New Roman"/>
              </w:rPr>
            </w:pPr>
          </w:p>
        </w:tc>
        <w:tc>
          <w:tcPr>
            <w:tcW w:w="2902" w:type="dxa"/>
            <w:shd w:val="clear" w:color="auto" w:fill="auto"/>
            <w:vAlign w:val="center"/>
          </w:tcPr>
          <w:p w:rsidR="00DB2C85" w:rsidRDefault="00DB2C85">
            <w:pPr>
              <w:spacing w:line="584" w:lineRule="exact"/>
              <w:jc w:val="center"/>
              <w:rPr>
                <w:rFonts w:ascii="Times New Roman" w:eastAsia="仿宋_GB2312" w:hAnsi="Times New Roman" w:cs="Times New Roman"/>
              </w:rPr>
            </w:pPr>
          </w:p>
        </w:tc>
      </w:tr>
      <w:tr w:rsidR="00DB2C85">
        <w:trPr>
          <w:trHeight w:val="227"/>
          <w:jc w:val="center"/>
        </w:trPr>
        <w:tc>
          <w:tcPr>
            <w:tcW w:w="4443" w:type="dxa"/>
            <w:shd w:val="clear" w:color="auto" w:fill="auto"/>
            <w:vAlign w:val="center"/>
          </w:tcPr>
          <w:p w:rsidR="00DB2C85" w:rsidRDefault="00DB2C85">
            <w:pPr>
              <w:spacing w:line="584" w:lineRule="exact"/>
              <w:jc w:val="left"/>
              <w:rPr>
                <w:rFonts w:ascii="Times New Roman" w:eastAsia="仿宋_GB2312" w:hAnsi="Times New Roman" w:cs="Times New Roman"/>
              </w:rPr>
            </w:pPr>
          </w:p>
        </w:tc>
        <w:tc>
          <w:tcPr>
            <w:tcW w:w="1134" w:type="dxa"/>
            <w:shd w:val="clear" w:color="auto" w:fill="auto"/>
            <w:vAlign w:val="center"/>
          </w:tcPr>
          <w:p w:rsidR="00DB2C85" w:rsidRDefault="00DB2C85">
            <w:pPr>
              <w:spacing w:line="584" w:lineRule="exact"/>
              <w:jc w:val="center"/>
              <w:rPr>
                <w:rFonts w:ascii="Times New Roman" w:eastAsia="仿宋_GB2312" w:hAnsi="Times New Roman" w:cs="Times New Roman"/>
              </w:rPr>
            </w:pPr>
          </w:p>
        </w:tc>
        <w:tc>
          <w:tcPr>
            <w:tcW w:w="1276" w:type="dxa"/>
            <w:shd w:val="clear" w:color="auto" w:fill="auto"/>
            <w:vAlign w:val="center"/>
          </w:tcPr>
          <w:p w:rsidR="00DB2C85" w:rsidRDefault="00DB2C85">
            <w:pPr>
              <w:spacing w:line="584" w:lineRule="exact"/>
              <w:jc w:val="center"/>
              <w:rPr>
                <w:rFonts w:ascii="Times New Roman" w:eastAsia="仿宋_GB2312" w:hAnsi="Times New Roman" w:cs="Times New Roman"/>
              </w:rPr>
            </w:pPr>
          </w:p>
        </w:tc>
        <w:tc>
          <w:tcPr>
            <w:tcW w:w="2902" w:type="dxa"/>
            <w:shd w:val="clear" w:color="auto" w:fill="auto"/>
            <w:vAlign w:val="center"/>
          </w:tcPr>
          <w:p w:rsidR="00DB2C85" w:rsidRDefault="00DB2C85">
            <w:pPr>
              <w:spacing w:line="584" w:lineRule="exact"/>
              <w:jc w:val="center"/>
              <w:rPr>
                <w:rFonts w:ascii="Times New Roman" w:eastAsia="仿宋_GB2312" w:hAnsi="Times New Roman" w:cs="Times New Roman"/>
              </w:rPr>
            </w:pPr>
          </w:p>
        </w:tc>
      </w:tr>
    </w:tbl>
    <w:p w:rsidR="00DB2C85" w:rsidRDefault="00161D21">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按照预算管理有关规定，目前我县部门预算的编制实行综合预算制度，即全部收入和支出都反映在预算中。永清县</w:t>
      </w:r>
      <w:r>
        <w:rPr>
          <w:rFonts w:ascii="Times New Roman" w:eastAsia="仿宋_GB2312" w:hAnsi="Times New Roman" w:cs="Times New Roman" w:hint="eastAsia"/>
          <w:sz w:val="32"/>
          <w:szCs w:val="32"/>
        </w:rPr>
        <w:t>自然资源和规划局</w:t>
      </w:r>
      <w:r>
        <w:rPr>
          <w:rFonts w:ascii="Times New Roman" w:eastAsia="仿宋_GB2312" w:hAnsi="Times New Roman" w:cs="Times New Roman"/>
          <w:sz w:val="32"/>
          <w:szCs w:val="32"/>
        </w:rPr>
        <w:t>机关</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收支包含在部门预算中。</w:t>
      </w:r>
    </w:p>
    <w:p w:rsidR="00DB2C85" w:rsidRDefault="00161D21">
      <w:pPr>
        <w:spacing w:line="584" w:lineRule="exact"/>
        <w:ind w:firstLine="640"/>
        <w:rPr>
          <w:rFonts w:ascii="Times New Roman" w:eastAsia="仿宋_GB2312" w:hAnsi="Times New Roman" w:cs="Times New Roman"/>
          <w:b/>
          <w:sz w:val="32"/>
          <w:szCs w:val="32"/>
        </w:rPr>
      </w:pP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、收入说明</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5953.34</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5953.34</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DB2C85" w:rsidRDefault="00161D21">
      <w:pPr>
        <w:spacing w:line="584"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、支出说明</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收支预算总表支出栏、基本支出表、项目支出表按经济分类和支出功能分类科目编制，反映永清县</w:t>
      </w:r>
      <w:r>
        <w:rPr>
          <w:rFonts w:ascii="Times New Roman" w:eastAsia="仿宋_GB2312" w:hAnsi="Times New Roman" w:cs="Times New Roman" w:hint="eastAsia"/>
          <w:sz w:val="32"/>
          <w:szCs w:val="32"/>
        </w:rPr>
        <w:t>自然资源和规划局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5953.34</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3712.71</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3475.23</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237.48</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2240.63</w:t>
      </w:r>
      <w:r>
        <w:rPr>
          <w:rFonts w:ascii="Times New Roman" w:eastAsia="仿宋_GB2312" w:hAnsi="Times New Roman" w:cs="Times New Roman"/>
          <w:sz w:val="32"/>
          <w:szCs w:val="32"/>
        </w:rPr>
        <w:t>万元，包括本级支出，主要为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年造林补贴、机关网络运行经费、永久基本农田划定成果核实和储备区划定项目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不动产登记局水电物业费、</w:t>
      </w:r>
      <w:r>
        <w:rPr>
          <w:rFonts w:ascii="Times New Roman" w:eastAsia="仿宋_GB2312" w:hAnsi="Times New Roman" w:cs="Times New Roman"/>
          <w:sz w:val="32"/>
          <w:szCs w:val="32"/>
        </w:rPr>
        <w:t>证本费等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年度地下</w:t>
      </w:r>
      <w:r>
        <w:rPr>
          <w:rFonts w:ascii="Times New Roman" w:eastAsia="仿宋_GB2312" w:hAnsi="Times New Roman" w:cs="Times New Roman"/>
          <w:sz w:val="32"/>
          <w:szCs w:val="32"/>
        </w:rPr>
        <w:lastRenderedPageBreak/>
        <w:t>水超采综合治理试点林业项目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永清县自然资源和规划局京台高速绿化工程管护项目验收费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集体建设用地基准地价、农用地基准地价制订项目资金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年度国土变更调查项目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林业有害生物防治项目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游园规划设计项目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永清经济开发区临空拓展区专题研究项目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永清县城市客厅详细城市设计项目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永清县村庄布局专题研究项目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永清县自然资源和规划局第三次全国国土调查项目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永清县中心城区建筑风貌规划设计项目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年征地土地勘测定界、社会稳定风险评估、土地评估、地灾评估及招拍挂代理服务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永清县城市环境卫生设施专项规划项目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年度土地变更调查与遥感监测项目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第三次全国土地调查耕地分等定级调查评价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永清县自然资源和规划局京台高速两侧林地抚育管护项目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永清县自然资源和规划局廊沧高速绿化工程管护项目验收费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R1</w:t>
      </w:r>
      <w:r>
        <w:rPr>
          <w:rFonts w:ascii="Times New Roman" w:eastAsia="仿宋_GB2312" w:hAnsi="Times New Roman" w:cs="Times New Roman"/>
          <w:sz w:val="32"/>
          <w:szCs w:val="32"/>
        </w:rPr>
        <w:t>线永清西站空间布局规划项目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编制《省级森林城市总体规划》资金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法律服务费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京南片区林业有害生物协同防控联动指挥部会议经费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永清县自然资源和规划局廊沧高速两侧林地抚育管护项目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年造林检查验收费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年度土地变更调查与遥感监测项目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永清县国土空间总体规划编制项目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年京雄高铁绿化土地流转项目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年度土地卫片执法检查经费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律师代理费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2009-2019</w:t>
      </w:r>
      <w:r>
        <w:rPr>
          <w:rFonts w:ascii="Times New Roman" w:eastAsia="仿宋_GB2312" w:hAnsi="Times New Roman" w:cs="Times New Roman"/>
          <w:sz w:val="32"/>
          <w:szCs w:val="32"/>
        </w:rPr>
        <w:t>年批而未供土地（划拨、出让）勘测项目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上级转移支付（特定目标类）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廊财建【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143</w:t>
      </w:r>
      <w:r>
        <w:rPr>
          <w:rFonts w:ascii="Times New Roman" w:eastAsia="仿宋_GB2312" w:hAnsi="Times New Roman" w:cs="Times New Roman"/>
          <w:sz w:val="32"/>
          <w:szCs w:val="32"/>
        </w:rPr>
        <w:t>号林业有害生物防治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廊财建【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143</w:t>
      </w:r>
      <w:r>
        <w:rPr>
          <w:rFonts w:ascii="Times New Roman" w:eastAsia="仿宋_GB2312" w:hAnsi="Times New Roman" w:cs="Times New Roman"/>
          <w:sz w:val="32"/>
          <w:szCs w:val="32"/>
        </w:rPr>
        <w:t>号森林植被恢复费项目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廊财建【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143</w:t>
      </w:r>
      <w:r>
        <w:rPr>
          <w:rFonts w:ascii="Times New Roman" w:eastAsia="仿宋_GB2312" w:hAnsi="Times New Roman" w:cs="Times New Roman"/>
          <w:sz w:val="32"/>
          <w:szCs w:val="32"/>
        </w:rPr>
        <w:t>号现代林业花卉产业建设补助等。</w:t>
      </w:r>
    </w:p>
    <w:p w:rsidR="00DB2C85" w:rsidRDefault="00161D21">
      <w:pPr>
        <w:spacing w:line="584"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、比上年增减情况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5953.34</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年预算减少</w:t>
      </w:r>
      <w:r>
        <w:rPr>
          <w:rFonts w:ascii="Times New Roman" w:eastAsia="仿宋_GB2312" w:hAnsi="Times New Roman" w:cs="Times New Roman" w:hint="eastAsia"/>
          <w:sz w:val="32"/>
          <w:szCs w:val="32"/>
        </w:rPr>
        <w:t>3184.61</w:t>
      </w:r>
      <w:r>
        <w:rPr>
          <w:rFonts w:ascii="Times New Roman" w:eastAsia="仿宋_GB2312" w:hAnsi="Times New Roman" w:cs="Times New Roman"/>
          <w:sz w:val="32"/>
          <w:szCs w:val="32"/>
        </w:rPr>
        <w:t>万元，其中：基本支出减少</w:t>
      </w:r>
      <w:r>
        <w:rPr>
          <w:rFonts w:ascii="Times New Roman" w:eastAsia="仿宋_GB2312" w:hAnsi="Times New Roman" w:cs="Times New Roman" w:hint="eastAsia"/>
          <w:sz w:val="32"/>
          <w:szCs w:val="32"/>
        </w:rPr>
        <w:t>230.93</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日常公用经费支出</w:t>
      </w:r>
      <w:r>
        <w:rPr>
          <w:rFonts w:ascii="Times New Roman" w:eastAsia="仿宋_GB2312" w:hAnsi="Times New Roman" w:cs="Times New Roman"/>
          <w:sz w:val="32"/>
          <w:szCs w:val="32"/>
        </w:rPr>
        <w:t>；项目支出减少</w:t>
      </w:r>
      <w:r>
        <w:rPr>
          <w:rFonts w:ascii="Times New Roman" w:eastAsia="仿宋_GB2312" w:hAnsi="Times New Roman" w:cs="Times New Roman" w:hint="eastAsia"/>
          <w:sz w:val="32"/>
          <w:szCs w:val="32"/>
        </w:rPr>
        <w:t>3191.16</w:t>
      </w:r>
      <w:r>
        <w:rPr>
          <w:rFonts w:ascii="Times New Roman" w:eastAsia="仿宋_GB2312" w:hAnsi="Times New Roman" w:cs="Times New Roman"/>
          <w:sz w:val="32"/>
          <w:szCs w:val="32"/>
        </w:rPr>
        <w:t>万元，主要为永久基本农田划定成果核实和储备区划定项目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永清县自然资源和规划局</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年度地下水超采综合治理试点林业项目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集体建设用地基准地价、农用地基准地价制订项目资金</w:t>
      </w:r>
      <w:r>
        <w:rPr>
          <w:rFonts w:ascii="Times New Roman" w:eastAsia="仿宋_GB2312" w:hAnsi="Times New Roman" w:cs="Times New Roman" w:hint="eastAsia"/>
          <w:sz w:val="32"/>
          <w:szCs w:val="32"/>
        </w:rPr>
        <w:t>等专项</w:t>
      </w:r>
      <w:r>
        <w:rPr>
          <w:rFonts w:ascii="Times New Roman" w:eastAsia="仿宋_GB2312" w:hAnsi="Times New Roman" w:cs="Times New Roman"/>
          <w:sz w:val="32"/>
          <w:szCs w:val="32"/>
        </w:rPr>
        <w:t>项目支出。</w:t>
      </w:r>
    </w:p>
    <w:p w:rsidR="00DB2C85" w:rsidRDefault="00161D21">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DB2C85" w:rsidRDefault="00161D21">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hint="eastAsia"/>
          <w:sz w:val="32"/>
          <w:szCs w:val="32"/>
        </w:rPr>
        <w:t>76.42</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永清县自然资源和规划局</w:t>
      </w:r>
      <w:r>
        <w:rPr>
          <w:rFonts w:ascii="Times New Roman" w:eastAsia="仿宋_GB2312" w:hAnsi="Times New Roman" w:cs="Times New Roman"/>
          <w:sz w:val="32"/>
          <w:szCs w:val="32"/>
        </w:rPr>
        <w:t>办公区的日常维修、办公用房水电费、办公用房取暖费、办公用房物业管理费等日常运行支出。</w:t>
      </w:r>
    </w:p>
    <w:p w:rsidR="00DB2C85" w:rsidRDefault="00161D21">
      <w:pPr>
        <w:autoSpaceDE w:val="0"/>
        <w:autoSpaceDN w:val="0"/>
        <w:adjustRightInd w:val="0"/>
        <w:spacing w:line="584" w:lineRule="exact"/>
        <w:ind w:firstLineChars="296" w:firstLine="947"/>
        <w:jc w:val="left"/>
        <w:rPr>
          <w:rFonts w:ascii="Times New Roman" w:eastAsia="黑体" w:hAnsi="Times New Roman" w:cs="Times New Roman"/>
          <w:sz w:val="32"/>
          <w:szCs w:val="32"/>
        </w:rPr>
      </w:pPr>
      <w:r>
        <w:rPr>
          <w:rFonts w:ascii="Times New Roman" w:eastAsia="黑体" w:hAnsi="Times New Roman" w:cs="Times New Roman"/>
          <w:sz w:val="32"/>
          <w:szCs w:val="32"/>
        </w:rPr>
        <w:t>四、财政拨款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经费预算情况及增减变化原因</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4.24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元；公务用车购置及运维费</w:t>
      </w:r>
      <w:r>
        <w:rPr>
          <w:rFonts w:ascii="Times New Roman" w:eastAsia="仿宋_GB2312" w:hAnsi="Times New Roman" w:cs="Times New Roman" w:hint="eastAsia"/>
          <w:sz w:val="32"/>
          <w:szCs w:val="32"/>
        </w:rPr>
        <w:t>3.52</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3.52</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0.72</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持平，</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公务用车购置及运维费无增减变化（其中：公务用车购置费无增减变化，公务用车运维费无增减变化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公务用车数量无增减变化</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0.72</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持平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严格控制公务接待费支出。</w:t>
      </w:r>
    </w:p>
    <w:p w:rsidR="00DB2C85" w:rsidRDefault="00161D21">
      <w:pPr>
        <w:spacing w:line="584" w:lineRule="exact"/>
        <w:ind w:firstLineChars="300" w:firstLine="960"/>
        <w:rPr>
          <w:rFonts w:ascii="Times New Roman" w:eastAsia="黑体" w:hAnsi="Times New Roman" w:cs="Times New Roman"/>
          <w:color w:val="FF0000"/>
          <w:sz w:val="32"/>
          <w:szCs w:val="32"/>
        </w:rPr>
      </w:pPr>
      <w:r>
        <w:rPr>
          <w:rFonts w:ascii="Times New Roman" w:eastAsia="黑体" w:hAnsi="Times New Roman" w:cs="Times New Roman"/>
          <w:sz w:val="32"/>
          <w:szCs w:val="32"/>
        </w:rPr>
        <w:t>五、绩效预算信息</w:t>
      </w:r>
    </w:p>
    <w:p w:rsidR="00DB2C85" w:rsidRDefault="00161D21">
      <w:pPr>
        <w:spacing w:line="584" w:lineRule="exact"/>
        <w:ind w:firstLineChars="300" w:firstLine="96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DB2C85" w:rsidRDefault="00161D21" w:rsidP="005256B4">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lastRenderedPageBreak/>
        <w:t>（一）总体绩效目标</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年，重点推进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，力求各项工作创优争先。</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一是编制一张蓝图，完成国土空间规划。团结带领规划班底，加班加点，及时送审阅批，确保</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高标准、高质量完成我县空间总体规划编制工作，力求一次性获省市批准。同时，启动县城建制镇详细规划编制，村庄整合专项规划编制、综合交通专项规划编制、市政基础设施专项规划编制，逐步建立起我县完善的国土空间规划体系。</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二是理顺一项职能，保障土地储备供应。县土储中心成立以来，未能发挥出土地储备及土地开发职能，土地一级开发职能由企业实施，既违反了相关政策规定，也使政府失去了土地招拍挂的主动权。</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年，我局将制定具体实施方案</w:t>
      </w:r>
      <w:r>
        <w:rPr>
          <w:rFonts w:ascii="Times New Roman" w:eastAsia="仿宋_GB2312" w:hAnsi="Times New Roman" w:cs="Times New Roman"/>
          <w:sz w:val="32"/>
          <w:szCs w:val="32"/>
        </w:rPr>
        <w:t>，调配人员，充实力量，确保土储中心职能落到实处，进一步提高政府对土地供应的调控能力。</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是完善一套机制，提高土地使用效率。借鉴先进地区经验，进一步规范土地征收前期、卷宗报批审批等项工作，形成高效机制，提高一次性通过率。同时，研究低效用地再开发利用办法，完成城镇低效用地调查和城镇低效用地再开发专项规划编制工作，通过置换、有偿收回、督促开工等举措，盘活土地，提高效率，解决土地闲置问题</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四是狠刹一股歪风，严厉打击违法用地。继续违法用地打击高压态势，通过强拆、自拆等手段相结合，</w:t>
      </w:r>
      <w:r>
        <w:rPr>
          <w:rFonts w:ascii="Times New Roman" w:eastAsia="仿宋_GB2312" w:hAnsi="Times New Roman" w:cs="Times New Roman"/>
          <w:sz w:val="32"/>
          <w:szCs w:val="32"/>
        </w:rPr>
        <w:lastRenderedPageBreak/>
        <w:t>以拆为主，实施攻坚，彻底清除违法占地任务存量；通过人防、技防等手段，发现一起，整改一起，严格控制违法占地增量，确保新增违法用地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零增长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。同时，推进自然资源智能监管平台的建设，力争下半年全面投入使用，实现对耕地占用、私搭乱建等行为的实时监控。</w:t>
      </w:r>
    </w:p>
    <w:p w:rsidR="00DB2C85" w:rsidRDefault="00161D2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五是营造一片绿色，完成植树造林任务。</w:t>
      </w:r>
    </w:p>
    <w:p w:rsidR="00DB2C85" w:rsidRDefault="00161D21" w:rsidP="005256B4">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自然资源调查监测</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定期组织实施全县自然资源基础调查、变更调查、动态监测和分析评价。开展全县水、森林、草原</w:t>
      </w:r>
      <w:r>
        <w:rPr>
          <w:rFonts w:ascii="Times New Roman" w:eastAsia="仿宋_GB2312" w:hAnsi="Times New Roman" w:cs="Times New Roman"/>
          <w:sz w:val="32"/>
          <w:szCs w:val="32"/>
        </w:rPr>
        <w:t>、湿地、荒漠资源和地理国情等专项调查监测评价工作。承担县级自然资源调查监测评价成果的汇交、管理、维护、发布、共享和利用监督。</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自然资源确权登记</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承担指导监督全县自然资源和不动产确权登记及登记资料管理工作。负责全县自然资源和不动产登记信息管理基础平台建设与应用。</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绩效指标：各部门共享调用协同办公系统和共享服务系统；项目报告成果数量是否达标；数据整合关联工作；简化手续，节约时间。</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自然资源所有者权益和开发利用</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绩效目标：负责自然资源市场监督管理和动态监测，建立自然资源市场信用体系。建立政</w:t>
      </w:r>
      <w:r>
        <w:rPr>
          <w:rFonts w:ascii="Times New Roman" w:eastAsia="仿宋_GB2312" w:hAnsi="Times New Roman" w:cs="Times New Roman"/>
          <w:sz w:val="32"/>
          <w:szCs w:val="32"/>
        </w:rPr>
        <w:t>府公示自然资源价格体系，组织开展自然资源分等定级价格评估。拟订自然资源开发利用标准，开展评价考核，指导节约集约利用。</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自然资源所有者权益和开发利用工作完成情况。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国土空间规划</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绩效目标：发挥国土空间规划的战略引领和刚性管控作用，为建设美丽永清提供有力支撑。到</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年底完成永清县国土空间总体规划编制，初步建立国土空间规划体系。</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国土空间用途管制</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绩效目标：拟订开展城乡规划管理等用途管制政策并监督实施。负责全县土地年度利用计划管理工作。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国土空间用途管制工作完成情况。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耕地保护监督</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绩效目标：承担耕地占补平衡管理工作。承担土地征收征用管理工作。负责耕地保护政策与林地、草地、湿地等土地资源保护政策的衔接。</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国土空间生态保护修复</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绩效目标：承担国土空间综合整治、土地整理复垦、矿山地质环境恢复治理和湿地、自然保护地、草</w:t>
      </w:r>
      <w:r>
        <w:rPr>
          <w:rFonts w:ascii="Times New Roman" w:eastAsia="仿宋_GB2312" w:hAnsi="Times New Roman" w:cs="Times New Roman"/>
          <w:sz w:val="32"/>
          <w:szCs w:val="32"/>
        </w:rPr>
        <w:lastRenderedPageBreak/>
        <w:t>原等生态修复工作。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国土空间生态保护修复工作完成情况。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地质矿产管理和测绘地理信息</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绩效目标：管理县级地质勘查项目，组织实施重大地质矿产勘查专项。贯彻执行矿业权管理政策，按管理权限组织矿产资源矿业权出让相关工作。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地质矿产管理和测绘地理信息工作完成情况。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林政</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绩效目标：组织编制森林经营规划和森林经营方案并监督实施。贯彻执行公益林保护规划、政策、标准，负责公益林划定、调整和管理工作。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巡查破坏森林资源的行为不少于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次；消除火灾隐患，加强重点地块的巡查，加大森林防火的宣传。防治美国白蛾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 xml:space="preserve">万亩。　</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造林绿化</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绩效目标：组织编制全县造林绿化发展规划、年度计划并监督实施。</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十二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城乡规划编研</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绩效目标：协调有关部门编制详规层面的各类专项规划，承担审查、申报审批和修改工作。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城乡规划编研工作完成情况。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城乡规划管理</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绩效目标：负责组织工程批后验线和规划条件核实工作。负责新建、改建、扩建的给排水、燃气、通讯、电力、供热等市政管线及道路、桥梁等市政工程规划管理。</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城乡规划管理工作完成情况。</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自然资源执法监察</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绩效目标：查处重大自然资源和国土空间规划及测绘违法案件，指导协调全县违法案件调查处理工作。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严厉打击违法，维护群众合法权益。卫片执法检查次数不少于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次，卫片执法检查图斑数不少于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w:t>
      </w:r>
    </w:p>
    <w:p w:rsidR="00DB2C85" w:rsidRDefault="00161D21" w:rsidP="005256B4">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完善制度建设。我局在制定年度计划工</w:t>
      </w:r>
      <w:r>
        <w:rPr>
          <w:rFonts w:ascii="Times New Roman" w:eastAsia="仿宋_GB2312" w:hAnsi="Times New Roman" w:cs="Times New Roman"/>
          <w:sz w:val="32"/>
          <w:szCs w:val="32"/>
        </w:rPr>
        <w:t>作时，就成立了领导小组，办公室设在县国土局土地开发整理中心，负责项目筹备、施工、指导和管理。制定完善预算绩效管理制度、资金管理办法、工作保障制度等，为全年预算绩效目标的实现奠定制度基础。</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加强支出管理。项目资金管理制度健全，财务机构设置、人员配备完整，竣工决算与审计等手续完备，符合要求。项目资金由国土部门实行报账制，基本执行了预算，资金安全运行得到了保障。通过优化支出</w:t>
      </w:r>
      <w:r>
        <w:rPr>
          <w:rFonts w:ascii="Times New Roman" w:eastAsia="仿宋_GB2312" w:hAnsi="Times New Roman" w:cs="Times New Roman"/>
          <w:sz w:val="32"/>
          <w:szCs w:val="32"/>
        </w:rPr>
        <w:lastRenderedPageBreak/>
        <w:t>结构、编细编实预算、加快履行政府采购手续、尽快启动项目、及时支付资金、</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月底前细化代编预算、按规定及时下达资金等多种措施，确保支出进度达标。</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绩效运行监控。在确定项目前，我局认真查阅土地利用现状调查资料，结合规划，多次深入现场实地勘察，走访村干部和群众，认真调查和了解该项目区的地类、现状、环境条件，预测项目区整治后的效益情况，对项目的整治可行性进行认真研究和考察。项目实施过程中我们按要求开展绩效运行监控，发现问题及时采取措施，确保绩效目标如期保质实现。</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做好绩效自评。我局按要求开展上年度部门预算绩效自评和重点评价工作，对评价中发现的问题及时整改，调整优化支出结构，提高财政资金使用效益。围绕项目区的工程设施，与农、林、水、电等部门结合，对综合整</w:t>
      </w:r>
      <w:r>
        <w:rPr>
          <w:rFonts w:ascii="Times New Roman" w:eastAsia="仿宋_GB2312" w:hAnsi="Times New Roman" w:cs="Times New Roman"/>
          <w:sz w:val="32"/>
          <w:szCs w:val="32"/>
        </w:rPr>
        <w:t>治、田间工程配套、土壤改良等方面，提供有关技术指导服务，确保高标准、高质量的完成年初预算项目工作。</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规范财务资产管理。完善财务管理制度，严格审批程序，加强固定资产登记、使用和的报废处置管理，做到支出合理，物尽其用。</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加强宣传培训调研。我局采用多种形式，宣传土地整治工作的重要性和必要性。深入群众，</w:t>
      </w:r>
      <w:r>
        <w:rPr>
          <w:rFonts w:ascii="Times New Roman" w:eastAsia="仿宋_GB2312" w:hAnsi="Times New Roman" w:cs="Times New Roman"/>
          <w:sz w:val="32"/>
          <w:szCs w:val="32"/>
        </w:rPr>
        <w:t>讲解土地整治的意义及县政府对土地整治的有关优惠政策。使广大群众切实认识土地整治是关系到充分有效利用土地资源和提高农民切实利益的大事。此外，我中心还积极争取项目区所在地村街村委会的协助，明确双方责任义务，增加了项目区相关乡村对完成这项工作的决心和信心，从而确保了项目的顺利实施。加强人员培训，提高本部门职工业务素质；加强调研，提出优化财政资金配置、提高资金使用效益的意见；加大宣传力度，强化预算绩效管理意识，促进预算绩效管理水平进一步提升。</w:t>
      </w:r>
    </w:p>
    <w:p w:rsidR="00DB2C85" w:rsidRDefault="00161D21" w:rsidP="005256B4">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W w:w="14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962"/>
        <w:gridCol w:w="1380"/>
        <w:gridCol w:w="1680"/>
        <w:gridCol w:w="2716"/>
        <w:gridCol w:w="3854"/>
        <w:gridCol w:w="885"/>
        <w:gridCol w:w="690"/>
        <w:gridCol w:w="600"/>
        <w:gridCol w:w="1382"/>
      </w:tblGrid>
      <w:tr w:rsidR="00DB2C85">
        <w:trPr>
          <w:trHeight w:val="326"/>
          <w:tblHeader/>
          <w:jc w:val="center"/>
        </w:trPr>
        <w:tc>
          <w:tcPr>
            <w:tcW w:w="962"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一级指标</w:t>
            </w:r>
          </w:p>
        </w:tc>
        <w:tc>
          <w:tcPr>
            <w:tcW w:w="1380"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二级</w:t>
            </w:r>
          </w:p>
          <w:p w:rsidR="00DB2C85" w:rsidRDefault="00161D21">
            <w:pPr>
              <w:widowControl/>
              <w:adjustRightInd w:val="0"/>
              <w:snapToGrid w:val="0"/>
              <w:jc w:val="center"/>
              <w:rPr>
                <w:rFonts w:ascii="方正书宋_GBK" w:eastAsia="方正书宋_GBK"/>
                <w:b/>
              </w:rPr>
            </w:pPr>
            <w:r>
              <w:rPr>
                <w:rFonts w:ascii="方正书宋_GBK" w:eastAsia="方正书宋_GBK"/>
                <w:b/>
              </w:rPr>
              <w:t>指标</w:t>
            </w:r>
          </w:p>
        </w:tc>
        <w:tc>
          <w:tcPr>
            <w:tcW w:w="1680"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三级</w:t>
            </w:r>
          </w:p>
          <w:p w:rsidR="00DB2C85" w:rsidRDefault="00161D21">
            <w:pPr>
              <w:widowControl/>
              <w:adjustRightInd w:val="0"/>
              <w:snapToGrid w:val="0"/>
              <w:jc w:val="center"/>
              <w:rPr>
                <w:rFonts w:ascii="方正书宋_GBK" w:eastAsia="方正书宋_GBK"/>
                <w:b/>
              </w:rPr>
            </w:pPr>
            <w:r>
              <w:rPr>
                <w:rFonts w:ascii="方正书宋_GBK" w:eastAsia="方正书宋_GBK"/>
                <w:b/>
              </w:rPr>
              <w:t>指标</w:t>
            </w:r>
          </w:p>
        </w:tc>
        <w:tc>
          <w:tcPr>
            <w:tcW w:w="2716"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评（扣）分标准</w:t>
            </w:r>
          </w:p>
        </w:tc>
        <w:tc>
          <w:tcPr>
            <w:tcW w:w="3854"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绩效指标</w:t>
            </w:r>
          </w:p>
          <w:p w:rsidR="00DB2C85" w:rsidRDefault="00161D21">
            <w:pPr>
              <w:widowControl/>
              <w:adjustRightInd w:val="0"/>
              <w:snapToGrid w:val="0"/>
              <w:jc w:val="center"/>
              <w:rPr>
                <w:rFonts w:ascii="方正书宋_GBK" w:eastAsia="方正书宋_GBK"/>
                <w:b/>
              </w:rPr>
            </w:pPr>
            <w:r>
              <w:rPr>
                <w:rFonts w:ascii="方正书宋_GBK" w:eastAsia="方正书宋_GBK"/>
                <w:b/>
              </w:rPr>
              <w:t>描述</w:t>
            </w:r>
          </w:p>
        </w:tc>
        <w:tc>
          <w:tcPr>
            <w:tcW w:w="2175" w:type="dxa"/>
            <w:gridSpan w:val="3"/>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指标值</w:t>
            </w:r>
          </w:p>
        </w:tc>
        <w:tc>
          <w:tcPr>
            <w:tcW w:w="1382"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指标值</w:t>
            </w:r>
          </w:p>
          <w:p w:rsidR="00DB2C85" w:rsidRDefault="00161D21">
            <w:pPr>
              <w:widowControl/>
              <w:adjustRightInd w:val="0"/>
              <w:snapToGrid w:val="0"/>
              <w:jc w:val="center"/>
              <w:rPr>
                <w:rFonts w:ascii="方正书宋_GBK" w:eastAsia="方正书宋_GBK"/>
                <w:b/>
              </w:rPr>
            </w:pPr>
            <w:r>
              <w:rPr>
                <w:rFonts w:ascii="方正书宋_GBK" w:eastAsia="方正书宋_GBK"/>
                <w:b/>
              </w:rPr>
              <w:t>确定依据</w:t>
            </w:r>
          </w:p>
        </w:tc>
      </w:tr>
      <w:tr w:rsidR="00DB2C85">
        <w:trPr>
          <w:trHeight w:val="533"/>
          <w:tblHeader/>
          <w:jc w:val="center"/>
        </w:trPr>
        <w:tc>
          <w:tcPr>
            <w:tcW w:w="962" w:type="dxa"/>
            <w:vMerge/>
            <w:tcBorders>
              <w:tl2br w:val="nil"/>
              <w:tr2bl w:val="nil"/>
            </w:tcBorders>
            <w:vAlign w:val="center"/>
          </w:tcPr>
          <w:p w:rsidR="00DB2C85" w:rsidRDefault="00DB2C85"/>
        </w:tc>
        <w:tc>
          <w:tcPr>
            <w:tcW w:w="1380" w:type="dxa"/>
            <w:vMerge/>
            <w:tcBorders>
              <w:tl2br w:val="nil"/>
              <w:tr2bl w:val="nil"/>
            </w:tcBorders>
            <w:vAlign w:val="center"/>
          </w:tcPr>
          <w:p w:rsidR="00DB2C85" w:rsidRDefault="00DB2C85"/>
        </w:tc>
        <w:tc>
          <w:tcPr>
            <w:tcW w:w="1680" w:type="dxa"/>
            <w:vMerge/>
            <w:tcBorders>
              <w:tl2br w:val="nil"/>
              <w:tr2bl w:val="nil"/>
            </w:tcBorders>
            <w:vAlign w:val="center"/>
          </w:tcPr>
          <w:p w:rsidR="00DB2C85" w:rsidRDefault="00DB2C85"/>
        </w:tc>
        <w:tc>
          <w:tcPr>
            <w:tcW w:w="2716" w:type="dxa"/>
            <w:vMerge/>
            <w:tcBorders>
              <w:tl2br w:val="nil"/>
              <w:tr2bl w:val="nil"/>
            </w:tcBorders>
            <w:vAlign w:val="center"/>
          </w:tcPr>
          <w:p w:rsidR="00DB2C85" w:rsidRDefault="00DB2C85"/>
        </w:tc>
        <w:tc>
          <w:tcPr>
            <w:tcW w:w="3854" w:type="dxa"/>
            <w:vMerge/>
            <w:tcBorders>
              <w:tl2br w:val="nil"/>
              <w:tr2bl w:val="nil"/>
            </w:tcBorders>
            <w:vAlign w:val="center"/>
          </w:tcPr>
          <w:p w:rsidR="00DB2C85" w:rsidRDefault="00DB2C85"/>
        </w:tc>
        <w:tc>
          <w:tcPr>
            <w:tcW w:w="885" w:type="dxa"/>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符号</w:t>
            </w:r>
          </w:p>
        </w:tc>
        <w:tc>
          <w:tcPr>
            <w:tcW w:w="690" w:type="dxa"/>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值</w:t>
            </w:r>
          </w:p>
        </w:tc>
        <w:tc>
          <w:tcPr>
            <w:tcW w:w="600" w:type="dxa"/>
            <w:tcBorders>
              <w:tl2br w:val="nil"/>
              <w:tr2bl w:val="nil"/>
            </w:tcBorders>
            <w:vAlign w:val="center"/>
          </w:tcPr>
          <w:p w:rsidR="00DB2C85" w:rsidRDefault="00161D21">
            <w:pPr>
              <w:widowControl/>
              <w:adjustRightInd w:val="0"/>
              <w:snapToGrid w:val="0"/>
              <w:jc w:val="center"/>
              <w:rPr>
                <w:rFonts w:ascii="方正书宋_GBK" w:eastAsia="方正书宋_GBK"/>
                <w:b/>
              </w:rPr>
            </w:pPr>
            <w:r>
              <w:rPr>
                <w:rFonts w:ascii="方正书宋_GBK" w:eastAsia="方正书宋_GBK"/>
                <w:b/>
              </w:rPr>
              <w:t>单位</w:t>
            </w:r>
          </w:p>
        </w:tc>
        <w:tc>
          <w:tcPr>
            <w:tcW w:w="1382" w:type="dxa"/>
            <w:vMerge/>
            <w:tcBorders>
              <w:tl2br w:val="nil"/>
              <w:tr2bl w:val="nil"/>
            </w:tcBorders>
            <w:vAlign w:val="center"/>
          </w:tcPr>
          <w:p w:rsidR="00DB2C85" w:rsidRDefault="00DB2C85"/>
        </w:tc>
      </w:tr>
      <w:tr w:rsidR="00DB2C85">
        <w:trPr>
          <w:trHeight w:val="594"/>
          <w:jc w:val="center"/>
        </w:trPr>
        <w:tc>
          <w:tcPr>
            <w:tcW w:w="962" w:type="dxa"/>
            <w:vMerge w:val="restart"/>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rPr>
              <w:t>部门产出</w:t>
            </w:r>
          </w:p>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rPr>
              <w:t>数量</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重点工作实际完成率</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反映全年各项重点工作任务完成情况</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重点工作实际完成率</w:t>
            </w:r>
            <w:r>
              <w:rPr>
                <w:rFonts w:ascii="宋体" w:cs="宋体" w:hint="eastAsia"/>
                <w:color w:val="000000"/>
                <w:kern w:val="0"/>
                <w:sz w:val="18"/>
                <w:szCs w:val="18"/>
              </w:rPr>
              <w:t>=</w:t>
            </w:r>
            <w:r>
              <w:rPr>
                <w:rFonts w:ascii="宋体" w:cs="宋体" w:hint="eastAsia"/>
                <w:color w:val="000000"/>
                <w:kern w:val="0"/>
                <w:sz w:val="18"/>
                <w:szCs w:val="18"/>
              </w:rPr>
              <w:t>（实际完成工作数</w:t>
            </w:r>
            <w:r>
              <w:rPr>
                <w:rFonts w:ascii="宋体" w:cs="宋体" w:hint="eastAsia"/>
                <w:color w:val="000000"/>
                <w:kern w:val="0"/>
                <w:sz w:val="18"/>
                <w:szCs w:val="18"/>
              </w:rPr>
              <w:t>/</w:t>
            </w:r>
            <w:r>
              <w:rPr>
                <w:rFonts w:ascii="宋体" w:cs="宋体" w:hint="eastAsia"/>
                <w:color w:val="000000"/>
                <w:kern w:val="0"/>
                <w:sz w:val="18"/>
                <w:szCs w:val="18"/>
              </w:rPr>
              <w:t>计划完成工作数）</w:t>
            </w:r>
            <w:r>
              <w:rPr>
                <w:rFonts w:ascii="宋体" w:cs="宋体" w:hint="eastAsia"/>
                <w:color w:val="000000"/>
                <w:kern w:val="0"/>
                <w:sz w:val="18"/>
                <w:szCs w:val="18"/>
              </w:rPr>
              <w:t>*100%</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69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100.00</w:t>
            </w: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w:t>
            </w:r>
          </w:p>
        </w:tc>
      </w:tr>
      <w:tr w:rsidR="00DB2C85">
        <w:trPr>
          <w:trHeight w:val="614"/>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rPr>
              <w:t>质量</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重点工作质量达标率</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反映重点工作质量达标率情况</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重点工作质量达标率</w:t>
            </w:r>
            <w:r>
              <w:rPr>
                <w:rFonts w:ascii="宋体" w:cs="宋体" w:hint="eastAsia"/>
                <w:color w:val="000000"/>
                <w:kern w:val="0"/>
                <w:sz w:val="18"/>
                <w:szCs w:val="18"/>
              </w:rPr>
              <w:t>=</w:t>
            </w:r>
            <w:r>
              <w:rPr>
                <w:rFonts w:ascii="宋体" w:cs="宋体" w:hint="eastAsia"/>
                <w:color w:val="000000"/>
                <w:kern w:val="0"/>
                <w:sz w:val="18"/>
                <w:szCs w:val="18"/>
              </w:rPr>
              <w:t>（质量达标工作数</w:t>
            </w:r>
            <w:r>
              <w:rPr>
                <w:rFonts w:ascii="宋体" w:cs="宋体" w:hint="eastAsia"/>
                <w:color w:val="000000"/>
                <w:kern w:val="0"/>
                <w:sz w:val="18"/>
                <w:szCs w:val="18"/>
              </w:rPr>
              <w:t>/</w:t>
            </w:r>
            <w:r>
              <w:rPr>
                <w:rFonts w:ascii="宋体" w:cs="宋体" w:hint="eastAsia"/>
                <w:color w:val="000000"/>
                <w:kern w:val="0"/>
                <w:sz w:val="18"/>
                <w:szCs w:val="18"/>
              </w:rPr>
              <w:t>计划工作数）</w:t>
            </w:r>
            <w:r>
              <w:rPr>
                <w:rFonts w:ascii="宋体" w:cs="宋体" w:hint="eastAsia"/>
                <w:color w:val="000000"/>
                <w:kern w:val="0"/>
                <w:sz w:val="18"/>
                <w:szCs w:val="18"/>
              </w:rPr>
              <w:t>*100%</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69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100.00</w:t>
            </w: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w:t>
            </w:r>
          </w:p>
        </w:tc>
      </w:tr>
      <w:tr w:rsidR="00DB2C85">
        <w:trPr>
          <w:trHeight w:val="458"/>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rPr>
              <w:t>时效</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重点工作完成及时率</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反映重点工作完成及时率情况</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重点工作完成及时率</w:t>
            </w:r>
            <w:r>
              <w:rPr>
                <w:rFonts w:ascii="宋体" w:cs="宋体" w:hint="eastAsia"/>
                <w:color w:val="000000"/>
                <w:kern w:val="0"/>
                <w:sz w:val="18"/>
                <w:szCs w:val="18"/>
              </w:rPr>
              <w:t>=</w:t>
            </w:r>
            <w:r>
              <w:rPr>
                <w:rFonts w:ascii="宋体" w:cs="宋体" w:hint="eastAsia"/>
                <w:color w:val="000000"/>
                <w:kern w:val="0"/>
                <w:sz w:val="18"/>
                <w:szCs w:val="18"/>
              </w:rPr>
              <w:t>（及时完成工作数</w:t>
            </w:r>
            <w:r>
              <w:rPr>
                <w:rFonts w:ascii="宋体" w:cs="宋体" w:hint="eastAsia"/>
                <w:color w:val="000000"/>
                <w:kern w:val="0"/>
                <w:sz w:val="18"/>
                <w:szCs w:val="18"/>
              </w:rPr>
              <w:t>/</w:t>
            </w:r>
            <w:r>
              <w:rPr>
                <w:rFonts w:ascii="宋体" w:cs="宋体" w:hint="eastAsia"/>
                <w:color w:val="000000"/>
                <w:kern w:val="0"/>
                <w:sz w:val="18"/>
                <w:szCs w:val="18"/>
              </w:rPr>
              <w:t>计划完成工作数）</w:t>
            </w:r>
            <w:r>
              <w:rPr>
                <w:rFonts w:ascii="宋体" w:cs="宋体" w:hint="eastAsia"/>
                <w:color w:val="000000"/>
                <w:kern w:val="0"/>
                <w:sz w:val="18"/>
                <w:szCs w:val="18"/>
              </w:rPr>
              <w:t>*100%</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69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100.00</w:t>
            </w: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w:t>
            </w:r>
          </w:p>
        </w:tc>
      </w:tr>
      <w:tr w:rsidR="00DB2C85">
        <w:trPr>
          <w:trHeight w:val="614"/>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rPr>
              <w:t>成本</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重点工作成本控制率</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反映重点工作成本控制情况</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重点工作成本控制率</w:t>
            </w:r>
            <w:r>
              <w:rPr>
                <w:rFonts w:ascii="宋体" w:cs="宋体" w:hint="eastAsia"/>
                <w:color w:val="000000"/>
                <w:kern w:val="0"/>
                <w:sz w:val="18"/>
                <w:szCs w:val="18"/>
              </w:rPr>
              <w:t>=</w:t>
            </w:r>
            <w:r>
              <w:rPr>
                <w:rFonts w:ascii="宋体" w:cs="宋体" w:hint="eastAsia"/>
                <w:color w:val="000000"/>
                <w:kern w:val="0"/>
                <w:sz w:val="18"/>
                <w:szCs w:val="18"/>
              </w:rPr>
              <w:t>（实际支出金额</w:t>
            </w:r>
            <w:r>
              <w:rPr>
                <w:rFonts w:ascii="宋体" w:cs="宋体" w:hint="eastAsia"/>
                <w:color w:val="000000"/>
                <w:kern w:val="0"/>
                <w:sz w:val="18"/>
                <w:szCs w:val="18"/>
              </w:rPr>
              <w:t>/</w:t>
            </w:r>
            <w:r>
              <w:rPr>
                <w:rFonts w:ascii="宋体" w:cs="宋体" w:hint="eastAsia"/>
                <w:color w:val="000000"/>
                <w:kern w:val="0"/>
                <w:sz w:val="18"/>
                <w:szCs w:val="18"/>
              </w:rPr>
              <w:t>预算金额）</w:t>
            </w:r>
            <w:r>
              <w:rPr>
                <w:rFonts w:ascii="宋体" w:cs="宋体" w:hint="eastAsia"/>
                <w:color w:val="000000"/>
                <w:kern w:val="0"/>
                <w:sz w:val="18"/>
                <w:szCs w:val="18"/>
              </w:rPr>
              <w:t>*100%</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69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100.00</w:t>
            </w: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w:t>
            </w:r>
          </w:p>
        </w:tc>
      </w:tr>
      <w:tr w:rsidR="00DB2C85">
        <w:trPr>
          <w:trHeight w:val="614"/>
          <w:jc w:val="center"/>
        </w:trPr>
        <w:tc>
          <w:tcPr>
            <w:tcW w:w="962" w:type="dxa"/>
            <w:vMerge w:val="restart"/>
            <w:tcBorders>
              <w:tl2br w:val="nil"/>
              <w:tr2bl w:val="nil"/>
            </w:tcBorders>
            <w:vAlign w:val="center"/>
          </w:tcPr>
          <w:p w:rsidR="00DB2C85" w:rsidRDefault="00161D21">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rPr>
              <w:t>社会</w:t>
            </w:r>
          </w:p>
          <w:p w:rsidR="00DB2C85" w:rsidRDefault="00161D21">
            <w:pPr>
              <w:widowControl/>
              <w:adjustRightInd w:val="0"/>
              <w:snapToGrid w:val="0"/>
              <w:jc w:val="center"/>
              <w:rPr>
                <w:rFonts w:ascii="方正书宋_GBK" w:eastAsia="方正书宋_GBK"/>
              </w:rPr>
            </w:pPr>
            <w:r>
              <w:rPr>
                <w:rFonts w:ascii="方正书宋_GBK" w:eastAsia="方正书宋_GBK"/>
              </w:rPr>
              <w:t>效益</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发挥国土空间规划的管控作用</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发挥国土空间规划的管控作用，为保护和合理开发利用自然资源提供科学指引</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根据工作完成情况及效果评分，效果很好得</w:t>
            </w:r>
            <w:r>
              <w:rPr>
                <w:rFonts w:ascii="宋体" w:cs="宋体" w:hint="eastAsia"/>
                <w:color w:val="000000"/>
                <w:kern w:val="0"/>
                <w:sz w:val="18"/>
                <w:szCs w:val="18"/>
              </w:rPr>
              <w:t>100%</w:t>
            </w:r>
            <w:r>
              <w:rPr>
                <w:rFonts w:ascii="宋体" w:cs="宋体" w:hint="eastAsia"/>
                <w:color w:val="000000"/>
                <w:kern w:val="0"/>
                <w:sz w:val="18"/>
                <w:szCs w:val="18"/>
              </w:rPr>
              <w:t>权重分；效果较好得</w:t>
            </w:r>
            <w:r>
              <w:rPr>
                <w:rFonts w:ascii="宋体" w:cs="宋体" w:hint="eastAsia"/>
                <w:color w:val="000000"/>
                <w:kern w:val="0"/>
                <w:sz w:val="18"/>
                <w:szCs w:val="18"/>
              </w:rPr>
              <w:t>80%</w:t>
            </w:r>
            <w:r>
              <w:rPr>
                <w:rFonts w:ascii="宋体" w:cs="宋体" w:hint="eastAsia"/>
                <w:color w:val="000000"/>
                <w:kern w:val="0"/>
                <w:sz w:val="18"/>
                <w:szCs w:val="18"/>
              </w:rPr>
              <w:t>权重分；效果一般得</w:t>
            </w:r>
            <w:r>
              <w:rPr>
                <w:rFonts w:ascii="宋体" w:cs="宋体" w:hint="eastAsia"/>
                <w:color w:val="000000"/>
                <w:kern w:val="0"/>
                <w:sz w:val="18"/>
                <w:szCs w:val="18"/>
              </w:rPr>
              <w:t>60%</w:t>
            </w:r>
            <w:r>
              <w:rPr>
                <w:rFonts w:ascii="宋体" w:cs="宋体" w:hint="eastAsia"/>
                <w:color w:val="000000"/>
                <w:kern w:val="0"/>
                <w:sz w:val="18"/>
                <w:szCs w:val="18"/>
              </w:rPr>
              <w:t>权重分；效果不明显得</w:t>
            </w:r>
            <w:r>
              <w:rPr>
                <w:rFonts w:ascii="宋体" w:cs="宋体" w:hint="eastAsia"/>
                <w:color w:val="000000"/>
                <w:kern w:val="0"/>
                <w:sz w:val="18"/>
                <w:szCs w:val="18"/>
              </w:rPr>
              <w:t>0</w:t>
            </w:r>
            <w:r>
              <w:rPr>
                <w:rFonts w:ascii="宋体" w:cs="宋体" w:hint="eastAsia"/>
                <w:color w:val="000000"/>
                <w:kern w:val="0"/>
                <w:sz w:val="18"/>
                <w:szCs w:val="18"/>
              </w:rPr>
              <w:t>分。</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文字描述</w:t>
            </w:r>
          </w:p>
        </w:tc>
        <w:tc>
          <w:tcPr>
            <w:tcW w:w="690" w:type="dxa"/>
            <w:tcBorders>
              <w:tl2br w:val="nil"/>
              <w:tr2bl w:val="nil"/>
            </w:tcBorders>
            <w:vAlign w:val="center"/>
          </w:tcPr>
          <w:p w:rsidR="00DB2C85" w:rsidRDefault="00DB2C85">
            <w:pPr>
              <w:jc w:val="center"/>
              <w:rPr>
                <w:rFonts w:ascii="宋体" w:cs="宋体"/>
                <w:color w:val="000000"/>
                <w:sz w:val="18"/>
                <w:szCs w:val="18"/>
              </w:rPr>
            </w:pP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有效</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工作计划及问卷调查结果</w:t>
            </w:r>
          </w:p>
        </w:tc>
      </w:tr>
      <w:tr w:rsidR="00DB2C85">
        <w:trPr>
          <w:trHeight w:val="614"/>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hint="eastAsia"/>
              </w:rPr>
              <w:t>经济</w:t>
            </w:r>
          </w:p>
          <w:p w:rsidR="00DB2C85" w:rsidRDefault="00161D21">
            <w:pPr>
              <w:widowControl/>
              <w:adjustRightInd w:val="0"/>
              <w:snapToGrid w:val="0"/>
              <w:jc w:val="center"/>
              <w:rPr>
                <w:rFonts w:ascii="方正书宋_GBK" w:eastAsia="方正书宋_GBK"/>
              </w:rPr>
            </w:pPr>
            <w:r>
              <w:rPr>
                <w:rFonts w:ascii="方正书宋_GBK" w:eastAsia="方正书宋_GBK" w:hint="eastAsia"/>
              </w:rPr>
              <w:t>效益</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促进全县自然资源的合理开发利用</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反映全县自然资源的开发利用情况</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根据工作完成情况及效果评分，效果很好得</w:t>
            </w:r>
            <w:r>
              <w:rPr>
                <w:rFonts w:ascii="宋体" w:cs="宋体" w:hint="eastAsia"/>
                <w:color w:val="000000"/>
                <w:kern w:val="0"/>
                <w:sz w:val="18"/>
                <w:szCs w:val="18"/>
              </w:rPr>
              <w:t>100%</w:t>
            </w:r>
            <w:r>
              <w:rPr>
                <w:rFonts w:ascii="宋体" w:cs="宋体" w:hint="eastAsia"/>
                <w:color w:val="000000"/>
                <w:kern w:val="0"/>
                <w:sz w:val="18"/>
                <w:szCs w:val="18"/>
              </w:rPr>
              <w:t>权重分；效果较好得</w:t>
            </w:r>
            <w:r>
              <w:rPr>
                <w:rFonts w:ascii="宋体" w:cs="宋体" w:hint="eastAsia"/>
                <w:color w:val="000000"/>
                <w:kern w:val="0"/>
                <w:sz w:val="18"/>
                <w:szCs w:val="18"/>
              </w:rPr>
              <w:t>80%</w:t>
            </w:r>
            <w:r>
              <w:rPr>
                <w:rFonts w:ascii="宋体" w:cs="宋体" w:hint="eastAsia"/>
                <w:color w:val="000000"/>
                <w:kern w:val="0"/>
                <w:sz w:val="18"/>
                <w:szCs w:val="18"/>
              </w:rPr>
              <w:t>权重分；效果一般得</w:t>
            </w:r>
            <w:r>
              <w:rPr>
                <w:rFonts w:ascii="宋体" w:cs="宋体" w:hint="eastAsia"/>
                <w:color w:val="000000"/>
                <w:kern w:val="0"/>
                <w:sz w:val="18"/>
                <w:szCs w:val="18"/>
              </w:rPr>
              <w:t>60%</w:t>
            </w:r>
            <w:r>
              <w:rPr>
                <w:rFonts w:ascii="宋体" w:cs="宋体" w:hint="eastAsia"/>
                <w:color w:val="000000"/>
                <w:kern w:val="0"/>
                <w:sz w:val="18"/>
                <w:szCs w:val="18"/>
              </w:rPr>
              <w:t>权重分；效果不明显得</w:t>
            </w:r>
            <w:r>
              <w:rPr>
                <w:rFonts w:ascii="宋体" w:cs="宋体" w:hint="eastAsia"/>
                <w:color w:val="000000"/>
                <w:kern w:val="0"/>
                <w:sz w:val="18"/>
                <w:szCs w:val="18"/>
              </w:rPr>
              <w:t>0</w:t>
            </w:r>
            <w:r>
              <w:rPr>
                <w:rFonts w:ascii="宋体" w:cs="宋体" w:hint="eastAsia"/>
                <w:color w:val="000000"/>
                <w:kern w:val="0"/>
                <w:sz w:val="18"/>
                <w:szCs w:val="18"/>
              </w:rPr>
              <w:t>分。</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文字描述</w:t>
            </w:r>
          </w:p>
        </w:tc>
        <w:tc>
          <w:tcPr>
            <w:tcW w:w="690" w:type="dxa"/>
            <w:tcBorders>
              <w:tl2br w:val="nil"/>
              <w:tr2bl w:val="nil"/>
            </w:tcBorders>
            <w:vAlign w:val="center"/>
          </w:tcPr>
          <w:p w:rsidR="00DB2C85" w:rsidRDefault="00DB2C85">
            <w:pPr>
              <w:jc w:val="center"/>
              <w:rPr>
                <w:rFonts w:ascii="宋体" w:cs="宋体"/>
                <w:color w:val="000000"/>
                <w:sz w:val="18"/>
                <w:szCs w:val="18"/>
              </w:rPr>
            </w:pP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促进</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工作计划及问卷调查结果</w:t>
            </w:r>
          </w:p>
        </w:tc>
      </w:tr>
      <w:tr w:rsidR="00DB2C85">
        <w:trPr>
          <w:trHeight w:val="614"/>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hint="eastAsia"/>
              </w:rPr>
              <w:t>生态</w:t>
            </w:r>
          </w:p>
          <w:p w:rsidR="00DB2C85" w:rsidRDefault="00161D21">
            <w:pPr>
              <w:widowControl/>
              <w:adjustRightInd w:val="0"/>
              <w:snapToGrid w:val="0"/>
              <w:jc w:val="center"/>
              <w:rPr>
                <w:rFonts w:ascii="方正书宋_GBK" w:eastAsia="方正书宋_GBK"/>
              </w:rPr>
            </w:pPr>
            <w:r>
              <w:rPr>
                <w:rFonts w:ascii="方正书宋_GBK" w:eastAsia="方正书宋_GBK" w:hint="eastAsia"/>
              </w:rPr>
              <w:t>效益</w:t>
            </w:r>
          </w:p>
        </w:tc>
        <w:tc>
          <w:tcPr>
            <w:tcW w:w="168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统筹全县国土空间生态修复及耕地保护</w:t>
            </w:r>
          </w:p>
        </w:tc>
        <w:tc>
          <w:tcPr>
            <w:tcW w:w="2716"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反映全县国土空间生态修复及耕地情况</w:t>
            </w:r>
          </w:p>
        </w:tc>
        <w:tc>
          <w:tcPr>
            <w:tcW w:w="3854"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根据工作完成情况及效果评分，效果很好得</w:t>
            </w:r>
            <w:r>
              <w:rPr>
                <w:rFonts w:ascii="宋体" w:cs="宋体" w:hint="eastAsia"/>
                <w:color w:val="000000"/>
                <w:kern w:val="0"/>
                <w:sz w:val="18"/>
                <w:szCs w:val="18"/>
              </w:rPr>
              <w:t>100%</w:t>
            </w:r>
            <w:r>
              <w:rPr>
                <w:rFonts w:ascii="宋体" w:cs="宋体" w:hint="eastAsia"/>
                <w:color w:val="000000"/>
                <w:kern w:val="0"/>
                <w:sz w:val="18"/>
                <w:szCs w:val="18"/>
              </w:rPr>
              <w:t>权重分；效果较好得</w:t>
            </w:r>
            <w:r>
              <w:rPr>
                <w:rFonts w:ascii="宋体" w:cs="宋体" w:hint="eastAsia"/>
                <w:color w:val="000000"/>
                <w:kern w:val="0"/>
                <w:sz w:val="18"/>
                <w:szCs w:val="18"/>
              </w:rPr>
              <w:t>80%</w:t>
            </w:r>
            <w:r>
              <w:rPr>
                <w:rFonts w:ascii="宋体" w:cs="宋体" w:hint="eastAsia"/>
                <w:color w:val="000000"/>
                <w:kern w:val="0"/>
                <w:sz w:val="18"/>
                <w:szCs w:val="18"/>
              </w:rPr>
              <w:t>权重分；效果一般得</w:t>
            </w:r>
            <w:r>
              <w:rPr>
                <w:rFonts w:ascii="宋体" w:cs="宋体" w:hint="eastAsia"/>
                <w:color w:val="000000"/>
                <w:kern w:val="0"/>
                <w:sz w:val="18"/>
                <w:szCs w:val="18"/>
              </w:rPr>
              <w:t>60%</w:t>
            </w:r>
            <w:r>
              <w:rPr>
                <w:rFonts w:ascii="宋体" w:cs="宋体" w:hint="eastAsia"/>
                <w:color w:val="000000"/>
                <w:kern w:val="0"/>
                <w:sz w:val="18"/>
                <w:szCs w:val="18"/>
              </w:rPr>
              <w:t>权重分；效果不明显得</w:t>
            </w:r>
            <w:r>
              <w:rPr>
                <w:rFonts w:ascii="宋体" w:cs="宋体" w:hint="eastAsia"/>
                <w:color w:val="000000"/>
                <w:kern w:val="0"/>
                <w:sz w:val="18"/>
                <w:szCs w:val="18"/>
              </w:rPr>
              <w:t>0</w:t>
            </w:r>
            <w:r>
              <w:rPr>
                <w:rFonts w:ascii="宋体" w:cs="宋体" w:hint="eastAsia"/>
                <w:color w:val="000000"/>
                <w:kern w:val="0"/>
                <w:sz w:val="18"/>
                <w:szCs w:val="18"/>
              </w:rPr>
              <w:t>分。</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文字描述</w:t>
            </w:r>
          </w:p>
        </w:tc>
        <w:tc>
          <w:tcPr>
            <w:tcW w:w="690" w:type="dxa"/>
            <w:tcBorders>
              <w:tl2br w:val="nil"/>
              <w:tr2bl w:val="nil"/>
            </w:tcBorders>
            <w:vAlign w:val="center"/>
          </w:tcPr>
          <w:p w:rsidR="00DB2C85" w:rsidRDefault="00DB2C85">
            <w:pPr>
              <w:jc w:val="center"/>
              <w:rPr>
                <w:rFonts w:ascii="宋体" w:cs="宋体"/>
                <w:color w:val="000000"/>
                <w:sz w:val="18"/>
                <w:szCs w:val="18"/>
              </w:rPr>
            </w:pP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有效统筹</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工作计划及问卷调查结果</w:t>
            </w:r>
          </w:p>
        </w:tc>
      </w:tr>
      <w:tr w:rsidR="00DB2C85">
        <w:trPr>
          <w:trHeight w:val="770"/>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adjustRightInd w:val="0"/>
              <w:snapToGrid w:val="0"/>
              <w:jc w:val="center"/>
              <w:rPr>
                <w:rFonts w:ascii="方正书宋_GBK" w:eastAsia="方正书宋_GBK"/>
              </w:rPr>
            </w:pPr>
            <w:r>
              <w:rPr>
                <w:rFonts w:ascii="方正书宋_GBK" w:eastAsia="方正书宋_GBK" w:hint="eastAsia"/>
              </w:rPr>
              <w:t>可持续影响</w:t>
            </w:r>
          </w:p>
        </w:tc>
        <w:tc>
          <w:tcPr>
            <w:tcW w:w="1680" w:type="dxa"/>
            <w:tcBorders>
              <w:tl2br w:val="nil"/>
              <w:tr2bl w:val="nil"/>
            </w:tcBorders>
            <w:noWrap/>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提升全县造林绿化水平</w:t>
            </w:r>
          </w:p>
        </w:tc>
        <w:tc>
          <w:tcPr>
            <w:tcW w:w="2716" w:type="dxa"/>
            <w:tcBorders>
              <w:tl2br w:val="nil"/>
              <w:tr2bl w:val="nil"/>
            </w:tcBorders>
            <w:noWrap/>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反映全县造林绿化水平的提升水平</w:t>
            </w:r>
          </w:p>
        </w:tc>
        <w:tc>
          <w:tcPr>
            <w:tcW w:w="3854" w:type="dxa"/>
            <w:tcBorders>
              <w:tl2br w:val="nil"/>
              <w:tr2bl w:val="nil"/>
            </w:tcBorders>
            <w:noWrap/>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根据工作完成情况及效果评分，效果很好得</w:t>
            </w:r>
            <w:r>
              <w:rPr>
                <w:rFonts w:ascii="宋体" w:cs="宋体" w:hint="eastAsia"/>
                <w:color w:val="000000"/>
                <w:kern w:val="0"/>
                <w:sz w:val="18"/>
                <w:szCs w:val="18"/>
              </w:rPr>
              <w:t>100%</w:t>
            </w:r>
            <w:r>
              <w:rPr>
                <w:rFonts w:ascii="宋体" w:cs="宋体" w:hint="eastAsia"/>
                <w:color w:val="000000"/>
                <w:kern w:val="0"/>
                <w:sz w:val="18"/>
                <w:szCs w:val="18"/>
              </w:rPr>
              <w:t>权重分；效果较好得</w:t>
            </w:r>
            <w:r>
              <w:rPr>
                <w:rFonts w:ascii="宋体" w:cs="宋体" w:hint="eastAsia"/>
                <w:color w:val="000000"/>
                <w:kern w:val="0"/>
                <w:sz w:val="18"/>
                <w:szCs w:val="18"/>
              </w:rPr>
              <w:t>80%</w:t>
            </w:r>
            <w:r>
              <w:rPr>
                <w:rFonts w:ascii="宋体" w:cs="宋体" w:hint="eastAsia"/>
                <w:color w:val="000000"/>
                <w:kern w:val="0"/>
                <w:sz w:val="18"/>
                <w:szCs w:val="18"/>
              </w:rPr>
              <w:t>权重分；效果一般得</w:t>
            </w:r>
            <w:r>
              <w:rPr>
                <w:rFonts w:ascii="宋体" w:cs="宋体" w:hint="eastAsia"/>
                <w:color w:val="000000"/>
                <w:kern w:val="0"/>
                <w:sz w:val="18"/>
                <w:szCs w:val="18"/>
              </w:rPr>
              <w:t>60%</w:t>
            </w:r>
            <w:r>
              <w:rPr>
                <w:rFonts w:ascii="宋体" w:cs="宋体" w:hint="eastAsia"/>
                <w:color w:val="000000"/>
                <w:kern w:val="0"/>
                <w:sz w:val="18"/>
                <w:szCs w:val="18"/>
              </w:rPr>
              <w:t>权重分；效果不明显得</w:t>
            </w:r>
            <w:r>
              <w:rPr>
                <w:rFonts w:ascii="宋体" w:cs="宋体" w:hint="eastAsia"/>
                <w:color w:val="000000"/>
                <w:kern w:val="0"/>
                <w:sz w:val="18"/>
                <w:szCs w:val="18"/>
              </w:rPr>
              <w:t>0</w:t>
            </w:r>
            <w:r>
              <w:rPr>
                <w:rFonts w:ascii="宋体" w:cs="宋体" w:hint="eastAsia"/>
                <w:color w:val="000000"/>
                <w:kern w:val="0"/>
                <w:sz w:val="18"/>
                <w:szCs w:val="18"/>
              </w:rPr>
              <w:t>分。</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文字描述</w:t>
            </w:r>
          </w:p>
        </w:tc>
        <w:tc>
          <w:tcPr>
            <w:tcW w:w="690" w:type="dxa"/>
            <w:tcBorders>
              <w:tl2br w:val="nil"/>
              <w:tr2bl w:val="nil"/>
            </w:tcBorders>
            <w:vAlign w:val="center"/>
          </w:tcPr>
          <w:p w:rsidR="00DB2C85" w:rsidRDefault="00DB2C85">
            <w:pPr>
              <w:jc w:val="center"/>
              <w:rPr>
                <w:rFonts w:ascii="宋体" w:cs="宋体"/>
                <w:color w:val="000000"/>
                <w:sz w:val="18"/>
                <w:szCs w:val="18"/>
              </w:rPr>
            </w:pP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提升</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工作计划及问卷调查结果</w:t>
            </w:r>
          </w:p>
        </w:tc>
      </w:tr>
      <w:tr w:rsidR="00DB2C85">
        <w:trPr>
          <w:trHeight w:val="604"/>
          <w:jc w:val="center"/>
        </w:trPr>
        <w:tc>
          <w:tcPr>
            <w:tcW w:w="962" w:type="dxa"/>
            <w:vMerge/>
            <w:tcBorders>
              <w:tl2br w:val="nil"/>
              <w:tr2bl w:val="nil"/>
            </w:tcBorders>
            <w:vAlign w:val="center"/>
          </w:tcPr>
          <w:p w:rsidR="00DB2C85" w:rsidRDefault="00DB2C85"/>
        </w:tc>
        <w:tc>
          <w:tcPr>
            <w:tcW w:w="1380" w:type="dxa"/>
            <w:tcBorders>
              <w:tl2br w:val="nil"/>
              <w:tr2bl w:val="nil"/>
            </w:tcBorders>
            <w:vAlign w:val="center"/>
          </w:tcPr>
          <w:p w:rsidR="00DB2C85" w:rsidRDefault="00161D21">
            <w:pPr>
              <w:widowControl/>
              <w:adjustRightInd w:val="0"/>
              <w:snapToGrid w:val="0"/>
              <w:jc w:val="center"/>
              <w:rPr>
                <w:rFonts w:ascii="方正书宋_GBK" w:eastAsia="方正书宋_GBK"/>
              </w:rPr>
            </w:pPr>
            <w:r>
              <w:rPr>
                <w:rFonts w:ascii="方正书宋_GBK" w:eastAsia="方正书宋_GBK" w:hint="eastAsia"/>
              </w:rPr>
              <w:t>满意度</w:t>
            </w:r>
          </w:p>
        </w:tc>
        <w:tc>
          <w:tcPr>
            <w:tcW w:w="1680" w:type="dxa"/>
            <w:tcBorders>
              <w:tl2br w:val="nil"/>
              <w:tr2bl w:val="nil"/>
            </w:tcBorders>
            <w:noWrap/>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群众满意度</w:t>
            </w:r>
          </w:p>
        </w:tc>
        <w:tc>
          <w:tcPr>
            <w:tcW w:w="2716" w:type="dxa"/>
            <w:tcBorders>
              <w:tl2br w:val="nil"/>
              <w:tr2bl w:val="nil"/>
            </w:tcBorders>
            <w:noWrap/>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辖区群众对城乡建设整体满意度</w:t>
            </w:r>
          </w:p>
        </w:tc>
        <w:tc>
          <w:tcPr>
            <w:tcW w:w="3854" w:type="dxa"/>
            <w:tcBorders>
              <w:tl2br w:val="nil"/>
              <w:tr2bl w:val="nil"/>
            </w:tcBorders>
            <w:noWrap/>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效果很好得</w:t>
            </w:r>
            <w:r>
              <w:rPr>
                <w:rFonts w:ascii="宋体" w:cs="宋体" w:hint="eastAsia"/>
                <w:color w:val="000000"/>
                <w:kern w:val="0"/>
                <w:sz w:val="18"/>
                <w:szCs w:val="18"/>
              </w:rPr>
              <w:t>100%</w:t>
            </w:r>
            <w:r>
              <w:rPr>
                <w:rFonts w:ascii="宋体" w:cs="宋体" w:hint="eastAsia"/>
                <w:color w:val="000000"/>
                <w:kern w:val="0"/>
                <w:sz w:val="18"/>
                <w:szCs w:val="18"/>
              </w:rPr>
              <w:t>权重分；效果较好得</w:t>
            </w:r>
            <w:r>
              <w:rPr>
                <w:rFonts w:ascii="宋体" w:cs="宋体" w:hint="eastAsia"/>
                <w:color w:val="000000"/>
                <w:kern w:val="0"/>
                <w:sz w:val="18"/>
                <w:szCs w:val="18"/>
              </w:rPr>
              <w:t>80%</w:t>
            </w:r>
            <w:r>
              <w:rPr>
                <w:rFonts w:ascii="宋体" w:cs="宋体" w:hint="eastAsia"/>
                <w:color w:val="000000"/>
                <w:kern w:val="0"/>
                <w:sz w:val="18"/>
                <w:szCs w:val="18"/>
              </w:rPr>
              <w:t>权重分；效果一般得</w:t>
            </w:r>
            <w:r>
              <w:rPr>
                <w:rFonts w:ascii="宋体" w:cs="宋体" w:hint="eastAsia"/>
                <w:color w:val="000000"/>
                <w:kern w:val="0"/>
                <w:sz w:val="18"/>
                <w:szCs w:val="18"/>
              </w:rPr>
              <w:t>60%</w:t>
            </w:r>
            <w:r>
              <w:rPr>
                <w:rFonts w:ascii="宋体" w:cs="宋体" w:hint="eastAsia"/>
                <w:color w:val="000000"/>
                <w:kern w:val="0"/>
                <w:sz w:val="18"/>
                <w:szCs w:val="18"/>
              </w:rPr>
              <w:t>权重分；效果不明显得</w:t>
            </w:r>
            <w:r>
              <w:rPr>
                <w:rFonts w:ascii="宋体" w:cs="宋体" w:hint="eastAsia"/>
                <w:color w:val="000000"/>
                <w:kern w:val="0"/>
                <w:sz w:val="18"/>
                <w:szCs w:val="18"/>
              </w:rPr>
              <w:t>0</w:t>
            </w:r>
            <w:r>
              <w:rPr>
                <w:rFonts w:ascii="宋体" w:cs="宋体" w:hint="eastAsia"/>
                <w:color w:val="000000"/>
                <w:kern w:val="0"/>
                <w:sz w:val="18"/>
                <w:szCs w:val="18"/>
              </w:rPr>
              <w:t>分。</w:t>
            </w:r>
          </w:p>
        </w:tc>
        <w:tc>
          <w:tcPr>
            <w:tcW w:w="885"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69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95.00</w:t>
            </w:r>
          </w:p>
        </w:tc>
        <w:tc>
          <w:tcPr>
            <w:tcW w:w="600"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w:t>
            </w:r>
          </w:p>
        </w:tc>
        <w:tc>
          <w:tcPr>
            <w:tcW w:w="1382" w:type="dxa"/>
            <w:tcBorders>
              <w:tl2br w:val="nil"/>
              <w:tr2bl w:val="nil"/>
            </w:tcBorders>
            <w:vAlign w:val="center"/>
          </w:tcPr>
          <w:p w:rsidR="00DB2C85" w:rsidRDefault="00161D21">
            <w:pPr>
              <w:widowControl/>
              <w:jc w:val="center"/>
              <w:textAlignment w:val="center"/>
              <w:rPr>
                <w:rFonts w:ascii="宋体" w:cs="宋体"/>
                <w:color w:val="000000"/>
                <w:sz w:val="18"/>
                <w:szCs w:val="18"/>
              </w:rPr>
            </w:pPr>
            <w:r>
              <w:rPr>
                <w:rFonts w:ascii="宋体" w:cs="宋体" w:hint="eastAsia"/>
                <w:color w:val="000000"/>
                <w:kern w:val="0"/>
                <w:sz w:val="18"/>
                <w:szCs w:val="18"/>
              </w:rPr>
              <w:t>工作计划、问卷调查</w:t>
            </w:r>
          </w:p>
        </w:tc>
      </w:tr>
    </w:tbl>
    <w:p w:rsidR="00DB2C85" w:rsidRDefault="00DB2C85">
      <w:pPr>
        <w:spacing w:line="584" w:lineRule="exact"/>
        <w:rPr>
          <w:rFonts w:ascii="仿宋_GB2312" w:eastAsia="仿宋_GB2312" w:cs="Times New Roman"/>
          <w:sz w:val="32"/>
          <w:szCs w:val="32"/>
        </w:rPr>
      </w:pPr>
    </w:p>
    <w:p w:rsidR="00DB2C85" w:rsidRDefault="00161D21">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sz w:val="28"/>
        </w:rPr>
        <w:t>游园规划设计项目绩效目标表</w:t>
      </w:r>
      <w:bookmarkStart w:id="0" w:name="_Toc29799657"/>
      <w:bookmarkEnd w:id="0"/>
      <w:r>
        <w:rPr>
          <w:rFonts w:ascii="Times New Roman" w:eastAsia="仿宋_GB2312" w:hAnsi="Times New Roman" w:cs="Times New Roman"/>
          <w:vanish/>
          <w:sz w:val="28"/>
        </w:rPr>
        <w:t>{ TC</w:t>
      </w:r>
      <w:r>
        <w:rPr>
          <w:rFonts w:ascii="Times New Roman" w:eastAsia="仿宋_GB2312" w:hAnsi="Times New Roman" w:cs="Times New Roman"/>
          <w:vanish/>
          <w:sz w:val="28"/>
        </w:rPr>
        <w:t xml:space="preserve">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34"/>
        <w:gridCol w:w="1950"/>
        <w:gridCol w:w="2520"/>
        <w:gridCol w:w="3760"/>
        <w:gridCol w:w="1843"/>
        <w:gridCol w:w="2155"/>
      </w:tblGrid>
      <w:tr w:rsidR="00DB2C85">
        <w:trPr>
          <w:cantSplit/>
          <w:trHeight w:val="397"/>
          <w:tblHeader/>
          <w:jc w:val="center"/>
        </w:trPr>
        <w:tc>
          <w:tcPr>
            <w:tcW w:w="183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2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通过项目的开展，完成县政府旧址和县供电局宿舍南侧游园规划方案，保障规划设计功能的有效实现，为后续深化设计和实施建设奠定基础</w:t>
            </w:r>
          </w:p>
          <w:p w:rsidR="00DB2C85" w:rsidRDefault="00161D21">
            <w:pPr>
              <w:spacing w:line="300" w:lineRule="exact"/>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通过项目的开展，完成县政府旧址和县供电局宿舍南侧游园规划方案。</w:t>
            </w:r>
          </w:p>
        </w:tc>
      </w:tr>
      <w:tr w:rsidR="00DB2C85">
        <w:trPr>
          <w:cantSplit/>
          <w:trHeight w:val="397"/>
          <w:tblHeader/>
          <w:jc w:val="center"/>
        </w:trPr>
        <w:tc>
          <w:tcPr>
            <w:tcW w:w="183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二级指标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三级指标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指标值确定依据</w:t>
            </w:r>
          </w:p>
        </w:tc>
      </w:tr>
      <w:tr w:rsidR="00DB2C85">
        <w:trPr>
          <w:cantSplit/>
          <w:trHeight w:val="369"/>
          <w:jc w:val="center"/>
        </w:trPr>
        <w:tc>
          <w:tcPr>
            <w:tcW w:w="183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完成规划设计方案数量</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反映对县政府旧址和县供电局宿舍南侧游园规划方案规划设计方案的完成情况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34" w:type="dxa"/>
            <w:vMerge/>
            <w:shd w:val="clear" w:color="auto" w:fill="auto"/>
            <w:vAlign w:val="center"/>
          </w:tcPr>
          <w:p w:rsidR="00DB2C85" w:rsidRDefault="00DB2C85"/>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专家评审通过率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34" w:type="dxa"/>
            <w:vMerge/>
            <w:shd w:val="clear" w:color="auto" w:fill="auto"/>
            <w:vAlign w:val="center"/>
          </w:tcPr>
          <w:p w:rsidR="00DB2C85" w:rsidRDefault="00DB2C85"/>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设计方案完成及时率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反映规划设计方案是否及时完成，（实际完成时间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34" w:type="dxa"/>
            <w:vMerge/>
            <w:shd w:val="clear" w:color="auto" w:fill="auto"/>
            <w:vAlign w:val="center"/>
          </w:tcPr>
          <w:p w:rsidR="00DB2C85" w:rsidRDefault="00DB2C85"/>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单价成本</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考察设计成本单价的控制情况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2.73</w:t>
            </w:r>
            <w:r>
              <w:rPr>
                <w:rFonts w:ascii="Times New Roman" w:eastAsia="仿宋_GB2312" w:hAnsi="Times New Roman" w:cs="Times New Roman"/>
              </w:rPr>
              <w:t>万元</w:t>
            </w:r>
            <w:r>
              <w:rPr>
                <w:rFonts w:ascii="Times New Roman" w:eastAsia="仿宋_GB2312" w:hAnsi="Times New Roman" w:cs="Times New Roman"/>
              </w:rPr>
              <w:t>/</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依据年度资金支出计划以及合同约定</w:t>
            </w:r>
          </w:p>
        </w:tc>
      </w:tr>
      <w:tr w:rsidR="00DB2C85">
        <w:trPr>
          <w:cantSplit/>
          <w:trHeight w:val="369"/>
          <w:jc w:val="center"/>
        </w:trPr>
        <w:tc>
          <w:tcPr>
            <w:tcW w:w="183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对游园建设的指导有效性</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反映规划设计方案对游园建设的指导是否有效</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有效</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根据年度工作计划及后续游园建设情况</w:t>
            </w:r>
          </w:p>
        </w:tc>
      </w:tr>
      <w:tr w:rsidR="00DB2C85">
        <w:trPr>
          <w:cantSplit/>
          <w:trHeight w:val="369"/>
          <w:jc w:val="center"/>
        </w:trPr>
        <w:tc>
          <w:tcPr>
            <w:tcW w:w="183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2.2019</w:t>
      </w:r>
      <w:r>
        <w:rPr>
          <w:rFonts w:ascii="Times New Roman" w:eastAsia="仿宋_GB2312" w:hAnsi="Times New Roman" w:cs="Times New Roman"/>
          <w:sz w:val="28"/>
        </w:rPr>
        <w:t>年度土地变更调查与遥感监测项目绩效目标表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64"/>
        <w:gridCol w:w="1905"/>
        <w:gridCol w:w="2565"/>
        <w:gridCol w:w="3730"/>
        <w:gridCol w:w="1843"/>
        <w:gridCol w:w="2155"/>
      </w:tblGrid>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98" w:type="dxa"/>
            <w:gridSpan w:val="5"/>
            <w:shd w:val="clear" w:color="auto" w:fill="auto"/>
            <w:vAlign w:val="center"/>
          </w:tcPr>
          <w:p w:rsidR="00DB2C85" w:rsidRDefault="00161D21">
            <w:pPr>
              <w:spacing w:line="300" w:lineRule="exact"/>
              <w:rPr>
                <w:rFonts w:ascii="Times New Roman" w:eastAsia="仿宋_GB2312" w:hAnsi="Times New Roman" w:cs="Times New Roman"/>
              </w:rPr>
            </w:pPr>
            <w:r>
              <w:rPr>
                <w:rFonts w:ascii="方正书宋_GBK" w:eastAsia="方正书宋_GBK"/>
              </w:rPr>
              <w:t>1</w:t>
            </w:r>
            <w:r>
              <w:rPr>
                <w:rFonts w:ascii="Times New Roman" w:eastAsia="仿宋_GB2312" w:hAnsi="Times New Roman" w:cs="Times New Roman"/>
              </w:rPr>
              <w:t>.</w:t>
            </w:r>
            <w:r>
              <w:rPr>
                <w:rFonts w:ascii="Times New Roman" w:eastAsia="仿宋_GB2312" w:hAnsi="Times New Roman" w:cs="Times New Roman"/>
              </w:rPr>
              <w:t>完成</w:t>
            </w:r>
            <w:r>
              <w:rPr>
                <w:rFonts w:ascii="Times New Roman" w:eastAsia="仿宋_GB2312" w:hAnsi="Times New Roman" w:cs="Times New Roman"/>
              </w:rPr>
              <w:t>2019</w:t>
            </w:r>
            <w:r>
              <w:rPr>
                <w:rFonts w:ascii="Times New Roman" w:eastAsia="仿宋_GB2312" w:hAnsi="Times New Roman" w:cs="Times New Roman"/>
              </w:rPr>
              <w:t>年度国土变更调查上报工作</w:t>
            </w:r>
          </w:p>
          <w:p w:rsidR="00DB2C85" w:rsidRDefault="00161D21">
            <w:pPr>
              <w:spacing w:line="300" w:lineRule="exac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w:t>
            </w:r>
            <w:r>
              <w:rPr>
                <w:rFonts w:ascii="Times New Roman" w:eastAsia="仿宋_GB2312" w:hAnsi="Times New Roman" w:cs="Times New Roman"/>
              </w:rPr>
              <w:t>2019</w:t>
            </w:r>
            <w:r>
              <w:rPr>
                <w:rFonts w:ascii="Times New Roman" w:eastAsia="仿宋_GB2312" w:hAnsi="Times New Roman" w:cs="Times New Roman"/>
              </w:rPr>
              <w:t>年度国土变更调查上报工作并通过国家核查验收</w:t>
            </w:r>
          </w:p>
        </w:tc>
      </w:tr>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土地变更调查数据库</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反映土地调查完成情况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依据年度工作计划、合同规定</w:t>
            </w:r>
          </w:p>
        </w:tc>
      </w:tr>
      <w:tr w:rsidR="00DB2C85">
        <w:trPr>
          <w:cantSplit/>
          <w:trHeight w:val="369"/>
          <w:jc w:val="center"/>
        </w:trPr>
        <w:tc>
          <w:tcPr>
            <w:tcW w:w="1864" w:type="dxa"/>
            <w:vMerge/>
            <w:shd w:val="clear" w:color="auto" w:fill="auto"/>
            <w:vAlign w:val="center"/>
          </w:tcPr>
          <w:p w:rsidR="00DB2C85" w:rsidRDefault="00DB2C85"/>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成果验收合格率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反映土地变更调查合格率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依据年度工作计划、成果验收单</w:t>
            </w:r>
          </w:p>
        </w:tc>
      </w:tr>
      <w:tr w:rsidR="00DB2C85">
        <w:trPr>
          <w:cantSplit/>
          <w:trHeight w:val="369"/>
          <w:jc w:val="center"/>
        </w:trPr>
        <w:tc>
          <w:tcPr>
            <w:tcW w:w="1864" w:type="dxa"/>
            <w:vMerge/>
            <w:shd w:val="clear" w:color="auto" w:fill="auto"/>
            <w:vAlign w:val="center"/>
          </w:tcPr>
          <w:p w:rsidR="00DB2C85" w:rsidRDefault="00DB2C85"/>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w:t>
            </w:r>
          </w:p>
        </w:tc>
      </w:tr>
      <w:tr w:rsidR="00DB2C85">
        <w:trPr>
          <w:cantSplit/>
          <w:trHeight w:val="369"/>
          <w:jc w:val="center"/>
        </w:trPr>
        <w:tc>
          <w:tcPr>
            <w:tcW w:w="1864" w:type="dxa"/>
            <w:vMerge/>
            <w:shd w:val="clear" w:color="auto" w:fill="auto"/>
            <w:vAlign w:val="center"/>
          </w:tcPr>
          <w:p w:rsidR="00DB2C85" w:rsidRDefault="00DB2C85"/>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满足当前管理工作需要</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反映调查工作成果利用情况，是否满足当前管理工作需要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满足</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依据合同规定</w:t>
            </w:r>
          </w:p>
        </w:tc>
      </w:tr>
      <w:tr w:rsidR="00DB2C85">
        <w:trPr>
          <w:cantSplit/>
          <w:trHeight w:val="369"/>
          <w:jc w:val="center"/>
        </w:trPr>
        <w:tc>
          <w:tcPr>
            <w:tcW w:w="1864" w:type="dxa"/>
            <w:vMerge/>
            <w:shd w:val="clear" w:color="auto" w:fill="auto"/>
            <w:vAlign w:val="center"/>
          </w:tcPr>
          <w:p w:rsidR="00DB2C85" w:rsidRDefault="00DB2C85"/>
        </w:tc>
        <w:tc>
          <w:tcPr>
            <w:tcW w:w="1905" w:type="dxa"/>
            <w:shd w:val="clear" w:color="auto" w:fill="auto"/>
            <w:vAlign w:val="center"/>
          </w:tcPr>
          <w:p w:rsidR="00DB2C85" w:rsidRDefault="00DB2C85">
            <w:pPr>
              <w:spacing w:line="300" w:lineRule="exact"/>
              <w:jc w:val="left"/>
              <w:rPr>
                <w:rFonts w:ascii="Times New Roman" w:eastAsia="仿宋_GB2312" w:hAnsi="Times New Roman" w:cs="Times New Roman"/>
              </w:rPr>
            </w:pPr>
          </w:p>
        </w:tc>
        <w:tc>
          <w:tcPr>
            <w:tcW w:w="2565" w:type="dxa"/>
            <w:shd w:val="clear" w:color="auto" w:fill="auto"/>
            <w:vAlign w:val="center"/>
          </w:tcPr>
          <w:p w:rsidR="00DB2C85" w:rsidRDefault="00DB2C85">
            <w:pPr>
              <w:spacing w:line="300" w:lineRule="exact"/>
              <w:jc w:val="left"/>
              <w:rPr>
                <w:rFonts w:ascii="Times New Roman" w:eastAsia="仿宋_GB2312" w:hAnsi="Times New Roman" w:cs="Times New Roman"/>
              </w:rPr>
            </w:pPr>
          </w:p>
        </w:tc>
        <w:tc>
          <w:tcPr>
            <w:tcW w:w="3730" w:type="dxa"/>
            <w:shd w:val="clear" w:color="auto" w:fill="auto"/>
            <w:vAlign w:val="center"/>
          </w:tcPr>
          <w:p w:rsidR="00DB2C85" w:rsidRDefault="00DB2C85">
            <w:pPr>
              <w:spacing w:line="300" w:lineRule="exact"/>
              <w:jc w:val="left"/>
              <w:rPr>
                <w:rFonts w:ascii="Times New Roman" w:eastAsia="仿宋_GB2312" w:hAnsi="Times New Roman" w:cs="Times New Roman"/>
              </w:rPr>
            </w:pPr>
          </w:p>
        </w:tc>
        <w:tc>
          <w:tcPr>
            <w:tcW w:w="1843" w:type="dxa"/>
            <w:shd w:val="clear" w:color="auto" w:fill="auto"/>
            <w:vAlign w:val="center"/>
          </w:tcPr>
          <w:p w:rsidR="00DB2C85" w:rsidRDefault="00DB2C85">
            <w:pPr>
              <w:spacing w:line="300" w:lineRule="exact"/>
              <w:jc w:val="left"/>
              <w:rPr>
                <w:rFonts w:ascii="Times New Roman" w:eastAsia="仿宋_GB2312" w:hAnsi="Times New Roman" w:cs="Times New Roman"/>
              </w:rPr>
            </w:pPr>
          </w:p>
        </w:tc>
        <w:tc>
          <w:tcPr>
            <w:tcW w:w="2155" w:type="dxa"/>
            <w:shd w:val="clear" w:color="auto" w:fill="auto"/>
            <w:vAlign w:val="center"/>
          </w:tcPr>
          <w:p w:rsidR="00DB2C85" w:rsidRDefault="00DB2C85">
            <w:pPr>
              <w:spacing w:line="300" w:lineRule="exact"/>
              <w:jc w:val="left"/>
              <w:rPr>
                <w:rFonts w:ascii="Times New Roman" w:eastAsia="仿宋_GB2312" w:hAnsi="Times New Roman" w:cs="Times New Roman"/>
              </w:rPr>
            </w:pP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调查成果使用人员满意度</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反映调查成果使用人员对该项工作的满意度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w:t>
      </w:r>
      <w:r>
        <w:rPr>
          <w:rFonts w:ascii="Times New Roman" w:eastAsia="仿宋_GB2312" w:hAnsi="Times New Roman" w:cs="Times New Roman"/>
          <w:sz w:val="28"/>
        </w:rPr>
        <w:t>.</w:t>
      </w:r>
      <w:r>
        <w:rPr>
          <w:rFonts w:ascii="Times New Roman" w:eastAsia="仿宋_GB2312" w:hAnsi="Times New Roman" w:cs="Times New Roman"/>
          <w:sz w:val="28"/>
        </w:rPr>
        <w:t>永清县自然资源和规划局</w:t>
      </w:r>
      <w:r>
        <w:rPr>
          <w:rFonts w:ascii="Times New Roman" w:eastAsia="仿宋_GB2312" w:hAnsi="Times New Roman" w:cs="Times New Roman"/>
          <w:sz w:val="28"/>
        </w:rPr>
        <w:t>2016</w:t>
      </w:r>
      <w:r>
        <w:rPr>
          <w:rFonts w:ascii="Times New Roman" w:eastAsia="仿宋_GB2312" w:hAnsi="Times New Roman" w:cs="Times New Roman"/>
          <w:sz w:val="28"/>
        </w:rPr>
        <w:t>年度地下水超采综合治理试点林业项目绩效目标表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64"/>
        <w:gridCol w:w="1920"/>
        <w:gridCol w:w="2520"/>
        <w:gridCol w:w="3760"/>
        <w:gridCol w:w="1843"/>
        <w:gridCol w:w="2155"/>
      </w:tblGrid>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9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通过项目的实施，解决</w:t>
            </w:r>
            <w:r>
              <w:rPr>
                <w:rFonts w:ascii="Times New Roman" w:eastAsia="仿宋_GB2312" w:hAnsi="Times New Roman" w:cs="Times New Roman"/>
              </w:rPr>
              <w:t>2016</w:t>
            </w:r>
            <w:r>
              <w:rPr>
                <w:rFonts w:ascii="Times New Roman" w:eastAsia="仿宋_GB2312" w:hAnsi="Times New Roman" w:cs="Times New Roman"/>
              </w:rPr>
              <w:t>年开展地下水超采综合治理试点林业项目。</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治理地下水超采亩数</w:t>
            </w:r>
            <w:r>
              <w:rPr>
                <w:rFonts w:ascii="Times New Roman" w:eastAsia="仿宋_GB2312" w:hAnsi="Times New Roman" w:cs="Times New Roman"/>
              </w:rPr>
              <w:t>138</w:t>
            </w:r>
            <w:r>
              <w:rPr>
                <w:rFonts w:ascii="Times New Roman" w:eastAsia="仿宋_GB2312" w:hAnsi="Times New Roman" w:cs="Times New Roman"/>
              </w:rPr>
              <w:t>亩</w:t>
            </w:r>
          </w:p>
        </w:tc>
      </w:tr>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治理地下水超采亩数</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w:t>
            </w:r>
            <w:r>
              <w:rPr>
                <w:rFonts w:ascii="Times New Roman" w:eastAsia="仿宋_GB2312" w:hAnsi="Times New Roman" w:cs="Times New Roman"/>
              </w:rPr>
              <w:t>2016</w:t>
            </w:r>
            <w:r>
              <w:rPr>
                <w:rFonts w:ascii="Times New Roman" w:eastAsia="仿宋_GB2312" w:hAnsi="Times New Roman" w:cs="Times New Roman"/>
              </w:rPr>
              <w:t>年度地下水超采综合治理试点项目完成情况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138</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实施方案、合同约定</w:t>
            </w:r>
          </w:p>
        </w:tc>
      </w:tr>
      <w:tr w:rsidR="00DB2C85">
        <w:trPr>
          <w:cantSplit/>
          <w:trHeight w:val="369"/>
          <w:jc w:val="center"/>
        </w:trPr>
        <w:tc>
          <w:tcPr>
            <w:tcW w:w="1864"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治理合格率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考察项目综合治理合格情况（治理合格亩数</w:t>
            </w:r>
            <w:r>
              <w:rPr>
                <w:rFonts w:ascii="Times New Roman" w:eastAsia="仿宋_GB2312" w:hAnsi="Times New Roman" w:cs="Times New Roman"/>
              </w:rPr>
              <w:t>/</w:t>
            </w:r>
            <w:r>
              <w:rPr>
                <w:rFonts w:ascii="Times New Roman" w:eastAsia="仿宋_GB2312" w:hAnsi="Times New Roman" w:cs="Times New Roman"/>
              </w:rPr>
              <w:t>总亩数</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依据实际治理情况进行考核</w:t>
            </w:r>
          </w:p>
        </w:tc>
      </w:tr>
      <w:tr w:rsidR="00DB2C85">
        <w:trPr>
          <w:cantSplit/>
          <w:trHeight w:val="369"/>
          <w:jc w:val="center"/>
        </w:trPr>
        <w:tc>
          <w:tcPr>
            <w:tcW w:w="1864"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依据年度工作计划、合同约定、实施方案</w:t>
            </w:r>
          </w:p>
        </w:tc>
      </w:tr>
      <w:tr w:rsidR="00DB2C85">
        <w:trPr>
          <w:cantSplit/>
          <w:trHeight w:val="369"/>
          <w:jc w:val="center"/>
        </w:trPr>
        <w:tc>
          <w:tcPr>
            <w:tcW w:w="1864"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改善地下水超采现象</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w:t>
            </w:r>
            <w:r>
              <w:rPr>
                <w:rFonts w:ascii="Times New Roman" w:eastAsia="仿宋_GB2312" w:hAnsi="Times New Roman" w:cs="Times New Roman"/>
              </w:rPr>
              <w:t>2016</w:t>
            </w:r>
            <w:r>
              <w:rPr>
                <w:rFonts w:ascii="Times New Roman" w:eastAsia="仿宋_GB2312" w:hAnsi="Times New Roman" w:cs="Times New Roman"/>
              </w:rPr>
              <w:t>年度地下水超采综合治理试点林业项目改善情况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改善</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依据年度工作计划、合同约定及问卷调查</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7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服务对象对项目实施效果的满意程度。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4</w:t>
      </w:r>
      <w:r>
        <w:rPr>
          <w:rFonts w:ascii="Times New Roman" w:eastAsia="仿宋_GB2312" w:hAnsi="Times New Roman" w:cs="Times New Roman"/>
          <w:sz w:val="28"/>
        </w:rPr>
        <w:t>.</w:t>
      </w:r>
      <w:r>
        <w:rPr>
          <w:rFonts w:ascii="Times New Roman" w:eastAsia="仿宋_GB2312" w:hAnsi="Times New Roman" w:cs="Times New Roman"/>
          <w:sz w:val="28"/>
        </w:rPr>
        <w:t>集体建设用地基准地价、农用地基准地价制订项目绩效目标表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20"/>
        <w:gridCol w:w="2490"/>
        <w:gridCol w:w="3775"/>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通过开展本项目，实现永清县基准地价体系成果的更新与信息系统建设，确保基准地价成果能准确反映永清县集体建设用地、农用地地价分布规律和地价水平，实现基准地价在土地市场和土地资产管理中的重要指导作用。</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hint="eastAsia"/>
              </w:rPr>
              <w:t>2.</w:t>
            </w:r>
            <w:r>
              <w:rPr>
                <w:rFonts w:ascii="Times New Roman" w:eastAsia="仿宋_GB2312" w:hAnsi="Times New Roman" w:cs="Times New Roman" w:hint="eastAsia"/>
              </w:rPr>
              <w:t>通过开展本项目，可以完善公示地价体系，为未来集体建设用地、农用地入市提供价格参考，为理顺土地价格体系、培育完善土地市场、促进土地资产合理配置、农村集体土地流转等工作提供依据，规范集体建设用地使用权流转，有利于推动土地制度改革的顺利实施，优化城乡土地资源配置，促进农村社会经济的发展。</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w:t>
            </w:r>
            <w:r>
              <w:rPr>
                <w:rFonts w:ascii="Times New Roman" w:eastAsia="仿宋_GB2312" w:hAnsi="Times New Roman" w:cs="Times New Roman"/>
                <w:b/>
              </w:rPr>
              <w:t>级指标</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反映建设用地价格评估体系的完成情况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《城镇土地分等定级规程》（</w:t>
            </w:r>
            <w:r>
              <w:rPr>
                <w:rFonts w:ascii="Times New Roman" w:eastAsia="仿宋_GB2312" w:hAnsi="Times New Roman" w:cs="Times New Roman"/>
              </w:rPr>
              <w:t>GB/T 18507-2014</w:t>
            </w:r>
            <w:r>
              <w:rPr>
                <w:rFonts w:ascii="Times New Roman" w:eastAsia="仿宋_GB2312" w:hAnsi="Times New Roman" w:cs="Times New Roman"/>
              </w:rPr>
              <w:t>）、《城镇土地估价规程》（</w:t>
            </w:r>
            <w:r>
              <w:rPr>
                <w:rFonts w:ascii="Times New Roman" w:eastAsia="仿宋_GB2312" w:hAnsi="Times New Roman" w:cs="Times New Roman"/>
              </w:rPr>
              <w:t>GB/T 18508-2014</w:t>
            </w:r>
            <w:r>
              <w:rPr>
                <w:rFonts w:ascii="Times New Roman" w:eastAsia="仿宋_GB2312" w:hAnsi="Times New Roman" w:cs="Times New Roman"/>
              </w:rPr>
              <w:t>）、《农村集体土地价格评估技术指引》、年度工作计划</w:t>
            </w:r>
          </w:p>
        </w:tc>
      </w:tr>
      <w:tr w:rsidR="00DB2C85">
        <w:trPr>
          <w:cantSplit/>
          <w:trHeight w:val="369"/>
          <w:jc w:val="center"/>
        </w:trPr>
        <w:tc>
          <w:tcPr>
            <w:tcW w:w="1879"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项目验收合格率</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反映项目完工验收是否合格</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验收文件</w:t>
            </w:r>
          </w:p>
        </w:tc>
      </w:tr>
      <w:tr w:rsidR="00DB2C85">
        <w:trPr>
          <w:cantSplit/>
          <w:trHeight w:val="369"/>
          <w:jc w:val="center"/>
        </w:trPr>
        <w:tc>
          <w:tcPr>
            <w:tcW w:w="1879"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w:t>
            </w:r>
          </w:p>
        </w:tc>
      </w:tr>
      <w:tr w:rsidR="00DB2C85">
        <w:trPr>
          <w:cantSplit/>
          <w:trHeight w:val="369"/>
          <w:jc w:val="center"/>
        </w:trPr>
        <w:tc>
          <w:tcPr>
            <w:tcW w:w="1879"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集体建设用地、农用地指导作用</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反映建立集体建设用地价格评估体系产生的效果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国土资源部办公厅关于加强公示地价体系建设和管理有关问题的通知（国土资厅发〔</w:t>
            </w:r>
            <w:r>
              <w:rPr>
                <w:rFonts w:ascii="Times New Roman" w:eastAsia="仿宋_GB2312" w:hAnsi="Times New Roman" w:cs="Times New Roman"/>
              </w:rPr>
              <w:t>2017</w:t>
            </w:r>
            <w:r>
              <w:rPr>
                <w:rFonts w:ascii="Times New Roman" w:eastAsia="仿宋_GB2312" w:hAnsi="Times New Roman" w:cs="Times New Roman"/>
              </w:rPr>
              <w:t>〕</w:t>
            </w:r>
            <w:r>
              <w:rPr>
                <w:rFonts w:ascii="Times New Roman" w:eastAsia="仿宋_GB2312" w:hAnsi="Times New Roman" w:cs="Times New Roman"/>
              </w:rPr>
              <w:t>27</w:t>
            </w:r>
            <w:r>
              <w:rPr>
                <w:rFonts w:ascii="Times New Roman" w:eastAsia="仿宋_GB2312" w:hAnsi="Times New Roman" w:cs="Times New Roman"/>
              </w:rPr>
              <w:t>号），年度工作计划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调查成果使用人员满意度</w:t>
            </w:r>
          </w:p>
        </w:tc>
        <w:tc>
          <w:tcPr>
            <w:tcW w:w="37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反映政府、土地管理部门是否能通过项目成果准确了解廊坊市集体建设用地价格分布规律与地价水平</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5</w:t>
      </w:r>
      <w:r>
        <w:rPr>
          <w:rFonts w:ascii="Times New Roman" w:eastAsia="仿宋_GB2312" w:hAnsi="Times New Roman" w:cs="Times New Roman"/>
          <w:sz w:val="28"/>
        </w:rPr>
        <w:t>.</w:t>
      </w:r>
      <w:r>
        <w:rPr>
          <w:rFonts w:ascii="Times New Roman" w:eastAsia="仿宋_GB2312" w:hAnsi="Times New Roman" w:cs="Times New Roman"/>
          <w:sz w:val="28"/>
        </w:rPr>
        <w:t>林业有害生物防治项目绩效目标表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94"/>
        <w:gridCol w:w="1920"/>
        <w:gridCol w:w="2505"/>
        <w:gridCol w:w="3745"/>
        <w:gridCol w:w="1843"/>
        <w:gridCol w:w="2155"/>
      </w:tblGrid>
      <w:tr w:rsidR="00DB2C85">
        <w:trPr>
          <w:cantSplit/>
          <w:trHeight w:val="397"/>
          <w:tblHeader/>
          <w:jc w:val="center"/>
        </w:trPr>
        <w:tc>
          <w:tcPr>
            <w:tcW w:w="189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6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通过林业有害生物的防治，无公害防治率达到</w:t>
            </w:r>
            <w:r>
              <w:rPr>
                <w:rFonts w:ascii="Times New Roman" w:eastAsia="仿宋_GB2312" w:hAnsi="Times New Roman" w:cs="Times New Roman"/>
              </w:rPr>
              <w:t>85%</w:t>
            </w:r>
            <w:r>
              <w:rPr>
                <w:rFonts w:ascii="Times New Roman" w:eastAsia="仿宋_GB2312" w:hAnsi="Times New Roman" w:cs="Times New Roman"/>
              </w:rPr>
              <w:t>以上，叶片保存率达到</w:t>
            </w:r>
            <w:r>
              <w:rPr>
                <w:rFonts w:ascii="Times New Roman" w:eastAsia="仿宋_GB2312" w:hAnsi="Times New Roman" w:cs="Times New Roman"/>
              </w:rPr>
              <w:t>85%</w:t>
            </w:r>
            <w:r>
              <w:rPr>
                <w:rFonts w:ascii="Times New Roman" w:eastAsia="仿宋_GB2312" w:hAnsi="Times New Roman" w:cs="Times New Roman"/>
              </w:rPr>
              <w:t>以上。</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全县林业有害生物成灾率低于</w:t>
            </w:r>
            <w:r>
              <w:rPr>
                <w:rFonts w:ascii="Times New Roman" w:eastAsia="仿宋_GB2312" w:hAnsi="Times New Roman" w:cs="Times New Roman"/>
              </w:rPr>
              <w:t>4‰</w:t>
            </w:r>
            <w:r>
              <w:rPr>
                <w:rFonts w:ascii="Times New Roman" w:eastAsia="仿宋_GB2312" w:hAnsi="Times New Roman" w:cs="Times New Roman"/>
              </w:rPr>
              <w:t>。</w:t>
            </w:r>
          </w:p>
        </w:tc>
      </w:tr>
      <w:tr w:rsidR="00DB2C85">
        <w:trPr>
          <w:cantSplit/>
          <w:trHeight w:val="397"/>
          <w:tblHeader/>
          <w:jc w:val="center"/>
        </w:trPr>
        <w:tc>
          <w:tcPr>
            <w:tcW w:w="189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9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林业有害生物防治面积</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考察林业有害生物防治的面积</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12</w:t>
            </w:r>
            <w:r>
              <w:rPr>
                <w:rFonts w:ascii="Times New Roman" w:eastAsia="仿宋_GB2312" w:hAnsi="Times New Roman" w:cs="Times New Roman"/>
              </w:rPr>
              <w:t>万亩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依据实际完成防治情况</w:t>
            </w:r>
          </w:p>
        </w:tc>
      </w:tr>
      <w:tr w:rsidR="00DB2C85">
        <w:trPr>
          <w:cantSplit/>
          <w:trHeight w:val="369"/>
          <w:jc w:val="center"/>
        </w:trPr>
        <w:tc>
          <w:tcPr>
            <w:tcW w:w="1894"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有害生物成灾率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考察全县林业有害生物成灾率情况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≥4‰</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94"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防治完成及时率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考察工作完成及时情况，防治完成及时率</w:t>
            </w:r>
            <w:r>
              <w:rPr>
                <w:rFonts w:ascii="Times New Roman" w:eastAsia="仿宋_GB2312" w:hAnsi="Times New Roman" w:cs="Times New Roman"/>
              </w:rPr>
              <w:t>=</w:t>
            </w:r>
            <w:r>
              <w:rPr>
                <w:rFonts w:ascii="Times New Roman" w:eastAsia="仿宋_GB2312" w:hAnsi="Times New Roman" w:cs="Times New Roman"/>
              </w:rPr>
              <w:t>（实际完成时间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94"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9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提升林木存活率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考核项目是否能够提升林木存活率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9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社会公众满意度</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反映社会公众对该项工作的满意程度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6</w:t>
      </w:r>
      <w:r>
        <w:rPr>
          <w:rFonts w:ascii="Times New Roman" w:eastAsia="仿宋_GB2312" w:hAnsi="Times New Roman" w:cs="Times New Roman"/>
          <w:sz w:val="28"/>
        </w:rPr>
        <w:t>.R1</w:t>
      </w:r>
      <w:r>
        <w:rPr>
          <w:rFonts w:ascii="Times New Roman" w:eastAsia="仿宋_GB2312" w:hAnsi="Times New Roman" w:cs="Times New Roman"/>
          <w:sz w:val="28"/>
        </w:rPr>
        <w:t>线永清西站空间布局规划项目绩效目标表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35"/>
        <w:gridCol w:w="2520"/>
        <w:gridCol w:w="3730"/>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通过科学编制</w:t>
            </w:r>
            <w:r>
              <w:rPr>
                <w:rFonts w:ascii="Times New Roman" w:eastAsia="仿宋_GB2312" w:hAnsi="Times New Roman" w:cs="Times New Roman"/>
              </w:rPr>
              <w:t>R1</w:t>
            </w:r>
            <w:r>
              <w:rPr>
                <w:rFonts w:ascii="Times New Roman" w:eastAsia="仿宋_GB2312" w:hAnsi="Times New Roman" w:cs="Times New Roman"/>
              </w:rPr>
              <w:t>线永清西站空间布局规划，优化</w:t>
            </w:r>
            <w:r>
              <w:rPr>
                <w:rFonts w:ascii="Times New Roman" w:eastAsia="仿宋_GB2312" w:hAnsi="Times New Roman" w:cs="Times New Roman"/>
              </w:rPr>
              <w:t>R1</w:t>
            </w:r>
            <w:r>
              <w:rPr>
                <w:rFonts w:ascii="Times New Roman" w:eastAsia="仿宋_GB2312" w:hAnsi="Times New Roman" w:cs="Times New Roman"/>
              </w:rPr>
              <w:t>线永清西站周边空间布局，为国土空间总体规划编制提供专项支撑。</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完成永清县</w:t>
            </w:r>
            <w:r>
              <w:rPr>
                <w:rFonts w:ascii="Times New Roman" w:eastAsia="仿宋_GB2312" w:hAnsi="Times New Roman" w:cs="Times New Roman"/>
              </w:rPr>
              <w:t>R1</w:t>
            </w:r>
            <w:r>
              <w:rPr>
                <w:rFonts w:ascii="Times New Roman" w:eastAsia="仿宋_GB2312" w:hAnsi="Times New Roman" w:cs="Times New Roman"/>
              </w:rPr>
              <w:t>线永清西站周边约</w:t>
            </w:r>
            <w:r>
              <w:rPr>
                <w:rFonts w:ascii="Times New Roman" w:eastAsia="仿宋_GB2312" w:hAnsi="Times New Roman" w:cs="Times New Roman"/>
              </w:rPr>
              <w:t>5</w:t>
            </w:r>
            <w:r>
              <w:rPr>
                <w:rFonts w:ascii="Times New Roman" w:eastAsia="仿宋_GB2312" w:hAnsi="Times New Roman" w:cs="Times New Roman"/>
              </w:rPr>
              <w:t>平方公里用地规划研究。</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w:t>
            </w:r>
            <w:r>
              <w:rPr>
                <w:rFonts w:ascii="Times New Roman" w:eastAsia="仿宋_GB2312" w:hAnsi="Times New Roman" w:cs="Times New Roman"/>
              </w:rPr>
              <w:t>R1</w:t>
            </w:r>
            <w:r>
              <w:rPr>
                <w:rFonts w:ascii="Times New Roman" w:eastAsia="仿宋_GB2312" w:hAnsi="Times New Roman" w:cs="Times New Roman"/>
              </w:rPr>
              <w:t>线永清西站空间布局规划方案的完成情况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方案完成及时率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优化</w:t>
            </w:r>
            <w:r>
              <w:rPr>
                <w:rFonts w:ascii="Times New Roman" w:eastAsia="仿宋_GB2312" w:hAnsi="Times New Roman" w:cs="Times New Roman"/>
              </w:rPr>
              <w:t>R1</w:t>
            </w:r>
            <w:r>
              <w:rPr>
                <w:rFonts w:ascii="Times New Roman" w:eastAsia="仿宋_GB2312" w:hAnsi="Times New Roman" w:cs="Times New Roman"/>
              </w:rPr>
              <w:t>线永清西站周边空间布局</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反映规划方案在优化</w:t>
            </w:r>
            <w:r>
              <w:rPr>
                <w:rFonts w:ascii="Times New Roman" w:eastAsia="仿宋_GB2312" w:hAnsi="Times New Roman" w:cs="Times New Roman"/>
              </w:rPr>
              <w:t>R1</w:t>
            </w:r>
            <w:r>
              <w:rPr>
                <w:rFonts w:ascii="Times New Roman" w:eastAsia="仿宋_GB2312" w:hAnsi="Times New Roman" w:cs="Times New Roman"/>
              </w:rPr>
              <w:t>线永清西站周边空间布局方面产生的效果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文字描述</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7</w:t>
      </w:r>
      <w:r>
        <w:rPr>
          <w:rFonts w:ascii="Times New Roman" w:eastAsia="仿宋_GB2312" w:hAnsi="Times New Roman" w:cs="Times New Roman"/>
          <w:sz w:val="28"/>
        </w:rPr>
        <w:t>.2020</w:t>
      </w:r>
      <w:r>
        <w:rPr>
          <w:rFonts w:ascii="Times New Roman" w:eastAsia="仿宋_GB2312" w:hAnsi="Times New Roman" w:cs="Times New Roman"/>
          <w:sz w:val="28"/>
        </w:rPr>
        <w:t>、</w:t>
      </w:r>
      <w:r>
        <w:rPr>
          <w:rFonts w:ascii="Times New Roman" w:eastAsia="仿宋_GB2312" w:hAnsi="Times New Roman" w:cs="Times New Roman"/>
          <w:sz w:val="28"/>
        </w:rPr>
        <w:t>2021</w:t>
      </w:r>
      <w:r>
        <w:rPr>
          <w:rFonts w:ascii="Times New Roman" w:eastAsia="仿宋_GB2312" w:hAnsi="Times New Roman" w:cs="Times New Roman"/>
          <w:sz w:val="28"/>
        </w:rPr>
        <w:t>年造林检查验收费绩效目标表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05"/>
        <w:gridCol w:w="2550"/>
        <w:gridCol w:w="3730"/>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通过项目的开展实现永清造林高档次、高标准、高质量绿化，着力打造一批点、线、面相结合的精品亮点工程，全面提高永清绿化水平，全面提升永清对外形象，为建设经济强县打造最美、最绿的生态环境。</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造林验收</w:t>
            </w:r>
            <w:r>
              <w:rPr>
                <w:rFonts w:ascii="Times New Roman" w:eastAsia="仿宋_GB2312" w:hAnsi="Times New Roman" w:cs="Times New Roman"/>
              </w:rPr>
              <w:t>12739.61</w:t>
            </w:r>
            <w:r>
              <w:rPr>
                <w:rFonts w:ascii="Times New Roman" w:eastAsia="仿宋_GB2312" w:hAnsi="Times New Roman" w:cs="Times New Roman"/>
              </w:rPr>
              <w:t>亩数</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验收面积亩数</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考察永清造林验收面积的亩数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12739.61</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永政办【</w:t>
            </w:r>
            <w:r>
              <w:rPr>
                <w:rFonts w:ascii="Times New Roman" w:eastAsia="仿宋_GB2312" w:hAnsi="Times New Roman" w:cs="Times New Roman"/>
              </w:rPr>
              <w:t>2015</w:t>
            </w:r>
            <w:r>
              <w:rPr>
                <w:rFonts w:ascii="Times New Roman" w:eastAsia="仿宋_GB2312" w:hAnsi="Times New Roman" w:cs="Times New Roman"/>
              </w:rPr>
              <w:t>】</w:t>
            </w:r>
            <w:r>
              <w:rPr>
                <w:rFonts w:ascii="Times New Roman" w:eastAsia="仿宋_GB2312" w:hAnsi="Times New Roman" w:cs="Times New Roman"/>
              </w:rPr>
              <w:t>7</w:t>
            </w:r>
            <w:r>
              <w:rPr>
                <w:rFonts w:ascii="Times New Roman" w:eastAsia="仿宋_GB2312" w:hAnsi="Times New Roman" w:cs="Times New Roman"/>
              </w:rPr>
              <w:t>号、永政办【</w:t>
            </w:r>
            <w:r>
              <w:rPr>
                <w:rFonts w:ascii="Times New Roman" w:eastAsia="仿宋_GB2312" w:hAnsi="Times New Roman" w:cs="Times New Roman"/>
              </w:rPr>
              <w:t>2018</w:t>
            </w:r>
            <w:r>
              <w:rPr>
                <w:rFonts w:ascii="Times New Roman" w:eastAsia="仿宋_GB2312" w:hAnsi="Times New Roman" w:cs="Times New Roman"/>
              </w:rPr>
              <w:t>】</w:t>
            </w:r>
            <w:r>
              <w:rPr>
                <w:rFonts w:ascii="Times New Roman" w:eastAsia="仿宋_GB2312" w:hAnsi="Times New Roman" w:cs="Times New Roman"/>
              </w:rPr>
              <w:t>36</w:t>
            </w:r>
            <w:r>
              <w:rPr>
                <w:rFonts w:ascii="Times New Roman" w:eastAsia="仿宋_GB2312" w:hAnsi="Times New Roman" w:cs="Times New Roman"/>
              </w:rPr>
              <w:t>号、永政办【</w:t>
            </w:r>
            <w:r>
              <w:rPr>
                <w:rFonts w:ascii="Times New Roman" w:eastAsia="仿宋_GB2312" w:hAnsi="Times New Roman" w:cs="Times New Roman"/>
              </w:rPr>
              <w:t>2019</w:t>
            </w:r>
            <w:r>
              <w:rPr>
                <w:rFonts w:ascii="Times New Roman" w:eastAsia="仿宋_GB2312" w:hAnsi="Times New Roman" w:cs="Times New Roman"/>
              </w:rPr>
              <w:t>】</w:t>
            </w:r>
            <w:r>
              <w:rPr>
                <w:rFonts w:ascii="Times New Roman" w:eastAsia="仿宋_GB2312" w:hAnsi="Times New Roman" w:cs="Times New Roman"/>
              </w:rPr>
              <w:t>16</w:t>
            </w:r>
            <w:r>
              <w:rPr>
                <w:rFonts w:ascii="Times New Roman" w:eastAsia="仿宋_GB2312" w:hAnsi="Times New Roman" w:cs="Times New Roman"/>
              </w:rPr>
              <w:t>号及《永清县京雄高铁廊道绿化工作方案》</w:t>
            </w:r>
          </w:p>
        </w:tc>
      </w:tr>
      <w:tr w:rsidR="00DB2C85">
        <w:trPr>
          <w:cantSplit/>
          <w:trHeight w:val="369"/>
          <w:jc w:val="center"/>
        </w:trPr>
        <w:tc>
          <w:tcPr>
            <w:tcW w:w="1879" w:type="dxa"/>
            <w:vMerge/>
            <w:shd w:val="clear" w:color="auto" w:fill="auto"/>
            <w:vAlign w:val="center"/>
          </w:tcPr>
          <w:p w:rsidR="00DB2C85" w:rsidRDefault="00DB2C85"/>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验收报告合格率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考察第三方验收报告是否按照相关规定进行编制</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第三方的验收报告</w:t>
            </w:r>
          </w:p>
        </w:tc>
      </w:tr>
      <w:tr w:rsidR="00DB2C85">
        <w:trPr>
          <w:cantSplit/>
          <w:trHeight w:val="369"/>
          <w:jc w:val="center"/>
        </w:trPr>
        <w:tc>
          <w:tcPr>
            <w:tcW w:w="1879" w:type="dxa"/>
            <w:vMerge/>
            <w:shd w:val="clear" w:color="auto" w:fill="auto"/>
            <w:vAlign w:val="center"/>
          </w:tcPr>
          <w:p w:rsidR="00DB2C85" w:rsidRDefault="00DB2C85"/>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验收完成及时率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考察项目验收完成的及时率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合同以及实际工作完成情况</w:t>
            </w:r>
          </w:p>
        </w:tc>
      </w:tr>
      <w:tr w:rsidR="00DB2C85">
        <w:trPr>
          <w:cantSplit/>
          <w:trHeight w:val="369"/>
          <w:jc w:val="center"/>
        </w:trPr>
        <w:tc>
          <w:tcPr>
            <w:tcW w:w="1879" w:type="dxa"/>
            <w:vMerge/>
            <w:shd w:val="clear" w:color="auto" w:fill="auto"/>
            <w:vAlign w:val="center"/>
          </w:tcPr>
          <w:p w:rsidR="00DB2C85" w:rsidRDefault="00DB2C85"/>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保障造林项目的实施</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项目的开展对永清造林绿化的保障实施</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依据验收报告及调查问卷</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对验收成果的满意度</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考察对验收工作的满意程度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8</w:t>
      </w:r>
      <w:r>
        <w:rPr>
          <w:rFonts w:ascii="Times New Roman" w:eastAsia="仿宋_GB2312" w:hAnsi="Times New Roman" w:cs="Times New Roman"/>
          <w:sz w:val="28"/>
        </w:rPr>
        <w:t>.2020</w:t>
      </w:r>
      <w:r>
        <w:rPr>
          <w:rFonts w:ascii="Times New Roman" w:eastAsia="仿宋_GB2312" w:hAnsi="Times New Roman" w:cs="Times New Roman"/>
          <w:sz w:val="28"/>
        </w:rPr>
        <w:t>年征地土地勘测定界、社会稳定风险评估、土地评估、地灾评估及招拍挂代理服务绩效目标表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20"/>
        <w:gridCol w:w="2520"/>
        <w:gridCol w:w="3745"/>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通过项目的开展，完成</w:t>
            </w:r>
            <w:r>
              <w:rPr>
                <w:rFonts w:ascii="Times New Roman" w:eastAsia="仿宋_GB2312" w:hAnsi="Times New Roman" w:cs="Times New Roman"/>
              </w:rPr>
              <w:t>2020</w:t>
            </w:r>
            <w:r>
              <w:rPr>
                <w:rFonts w:ascii="Times New Roman" w:eastAsia="仿宋_GB2312" w:hAnsi="Times New Roman" w:cs="Times New Roman"/>
              </w:rPr>
              <w:t>年征地土地勘测定界、社会稳定风险评估、土地评估、地灾评估及招拍挂代理服务的第三方聘用及勘测、评估、招拍挂工作，保障规划设计功能的有效实现。</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通过项目的开展，完成</w:t>
            </w:r>
            <w:r>
              <w:rPr>
                <w:rFonts w:ascii="Times New Roman" w:eastAsia="仿宋_GB2312" w:hAnsi="Times New Roman" w:cs="Times New Roman"/>
              </w:rPr>
              <w:t>2020</w:t>
            </w:r>
            <w:r>
              <w:rPr>
                <w:rFonts w:ascii="Times New Roman" w:eastAsia="仿宋_GB2312" w:hAnsi="Times New Roman" w:cs="Times New Roman"/>
              </w:rPr>
              <w:t>年征地土地勘测定界、社会稳定风险评估、土地评估、地灾评估及招拍挂代理服务的第三方聘用及勘测、评估、招拍挂工作，保障规划设计功能的有效实现，为后续深化设计和实施建设奠定基础</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完成征地勘测、评估、招拍挂面积</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反映实际完成的征地勘测、评估及招拍挂面积</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≥900</w:t>
            </w:r>
            <w:r>
              <w:rPr>
                <w:rFonts w:ascii="Times New Roman" w:eastAsia="仿宋_GB2312" w:hAnsi="Times New Roman" w:cs="Times New Roman"/>
              </w:rPr>
              <w:t>平方米</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根据年度工作计划、合同约定</w:t>
            </w:r>
          </w:p>
        </w:tc>
      </w:tr>
      <w:tr w:rsidR="00DB2C85">
        <w:trPr>
          <w:cantSplit/>
          <w:trHeight w:val="369"/>
          <w:jc w:val="center"/>
        </w:trPr>
        <w:tc>
          <w:tcPr>
            <w:tcW w:w="1879"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工作程序合规性</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反映勘测、评估及招拍挂代理工作程序是否按照相关规定执行</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合规</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根据各项工作规范及相关规定</w:t>
            </w:r>
          </w:p>
        </w:tc>
      </w:tr>
      <w:tr w:rsidR="00DB2C85">
        <w:trPr>
          <w:cantSplit/>
          <w:trHeight w:val="369"/>
          <w:jc w:val="center"/>
        </w:trPr>
        <w:tc>
          <w:tcPr>
            <w:tcW w:w="1879"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反映勘测、评估及招拍挂代理工作是否及时完成，（实际完成时间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提高政府经济收入</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反映勘测、评估及招拍挂代理工作对政府经济收入的提升情况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反映部门工作人员对第三方工作完成情况的满意度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9</w:t>
      </w:r>
      <w:r>
        <w:rPr>
          <w:rFonts w:ascii="Times New Roman" w:eastAsia="仿宋_GB2312" w:hAnsi="Times New Roman" w:cs="Times New Roman"/>
          <w:sz w:val="28"/>
        </w:rPr>
        <w:t>.</w:t>
      </w:r>
      <w:r>
        <w:rPr>
          <w:rFonts w:ascii="Times New Roman" w:eastAsia="仿宋_GB2312" w:hAnsi="Times New Roman" w:cs="Times New Roman"/>
          <w:sz w:val="28"/>
        </w:rPr>
        <w:t>京南片区林业有害生物协同防控联动指挥部会议经费绩效目标表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50"/>
        <w:gridCol w:w="2490"/>
        <w:gridCol w:w="3745"/>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通过该项目的完成，提升对有害生物统防统治的水平。</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防控联动指挥部召开会议次数不低于</w:t>
            </w:r>
            <w:r>
              <w:rPr>
                <w:rFonts w:ascii="Times New Roman" w:eastAsia="仿宋_GB2312" w:hAnsi="Times New Roman" w:cs="Times New Roman"/>
              </w:rPr>
              <w:t>3</w:t>
            </w:r>
            <w:r>
              <w:rPr>
                <w:rFonts w:ascii="Times New Roman" w:eastAsia="仿宋_GB2312" w:hAnsi="Times New Roman" w:cs="Times New Roman"/>
              </w:rPr>
              <w:t>次</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召开会议次数</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反映防控联动指挥部召开会议次数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次</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依据年度工作方案</w:t>
            </w:r>
          </w:p>
        </w:tc>
      </w:tr>
      <w:tr w:rsidR="00DB2C85">
        <w:trPr>
          <w:cantSplit/>
          <w:trHeight w:val="369"/>
          <w:jc w:val="center"/>
        </w:trPr>
        <w:tc>
          <w:tcPr>
            <w:tcW w:w="1879" w:type="dxa"/>
            <w:vMerge/>
            <w:shd w:val="clear" w:color="auto" w:fill="auto"/>
            <w:vAlign w:val="center"/>
          </w:tcPr>
          <w:p w:rsidR="00DB2C85" w:rsidRDefault="00DB2C85"/>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会议人员到位率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反映参会人员到位情况（实际到位人员</w:t>
            </w:r>
            <w:r>
              <w:rPr>
                <w:rFonts w:ascii="Times New Roman" w:eastAsia="仿宋_GB2312" w:hAnsi="Times New Roman" w:cs="Times New Roman"/>
              </w:rPr>
              <w:t>/</w:t>
            </w:r>
            <w:r>
              <w:rPr>
                <w:rFonts w:ascii="Times New Roman" w:eastAsia="仿宋_GB2312" w:hAnsi="Times New Roman" w:cs="Times New Roman"/>
              </w:rPr>
              <w:t>计划到位人员</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依据年度工作方案、参会签到表</w:t>
            </w:r>
          </w:p>
        </w:tc>
      </w:tr>
      <w:tr w:rsidR="00DB2C85">
        <w:trPr>
          <w:cantSplit/>
          <w:trHeight w:val="369"/>
          <w:jc w:val="center"/>
        </w:trPr>
        <w:tc>
          <w:tcPr>
            <w:tcW w:w="1879" w:type="dxa"/>
            <w:vMerge/>
            <w:shd w:val="clear" w:color="auto" w:fill="auto"/>
            <w:vAlign w:val="center"/>
          </w:tcPr>
          <w:p w:rsidR="00DB2C85" w:rsidRDefault="00DB2C85"/>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会议召开及时率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考察项目是否按照每年</w:t>
            </w:r>
            <w:r>
              <w:rPr>
                <w:rFonts w:ascii="Times New Roman" w:eastAsia="仿宋_GB2312" w:hAnsi="Times New Roman" w:cs="Times New Roman"/>
              </w:rPr>
              <w:t>1</w:t>
            </w:r>
            <w:r>
              <w:rPr>
                <w:rFonts w:ascii="Times New Roman" w:eastAsia="仿宋_GB2312" w:hAnsi="Times New Roman" w:cs="Times New Roman"/>
              </w:rPr>
              <w:t>月初、</w:t>
            </w:r>
            <w:r>
              <w:rPr>
                <w:rFonts w:ascii="Times New Roman" w:eastAsia="仿宋_GB2312" w:hAnsi="Times New Roman" w:cs="Times New Roman"/>
              </w:rPr>
              <w:t>4</w:t>
            </w:r>
            <w:r>
              <w:rPr>
                <w:rFonts w:ascii="Times New Roman" w:eastAsia="仿宋_GB2312" w:hAnsi="Times New Roman" w:cs="Times New Roman"/>
              </w:rPr>
              <w:t>月底和</w:t>
            </w:r>
            <w:r>
              <w:rPr>
                <w:rFonts w:ascii="Times New Roman" w:eastAsia="仿宋_GB2312" w:hAnsi="Times New Roman" w:cs="Times New Roman"/>
              </w:rPr>
              <w:t>9</w:t>
            </w:r>
            <w:r>
              <w:rPr>
                <w:rFonts w:ascii="Times New Roman" w:eastAsia="仿宋_GB2312" w:hAnsi="Times New Roman" w:cs="Times New Roman"/>
              </w:rPr>
              <w:t>月底如期召开会议（实际完成时间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依据年度工作方案</w:t>
            </w:r>
          </w:p>
        </w:tc>
      </w:tr>
      <w:tr w:rsidR="00DB2C85">
        <w:trPr>
          <w:cantSplit/>
          <w:trHeight w:val="369"/>
          <w:jc w:val="center"/>
        </w:trPr>
        <w:tc>
          <w:tcPr>
            <w:tcW w:w="1879" w:type="dxa"/>
            <w:vMerge/>
            <w:shd w:val="clear" w:color="auto" w:fill="auto"/>
            <w:vAlign w:val="center"/>
          </w:tcPr>
          <w:p w:rsidR="00DB2C85" w:rsidRDefault="00DB2C85"/>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提升有害生物统治统防水平</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考察会议召开对统治统防带来的影响和效果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依据年度工作方案及调查问卷</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参会人员满意度</w:t>
            </w:r>
          </w:p>
        </w:tc>
        <w:tc>
          <w:tcPr>
            <w:tcW w:w="3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反映参会人员对该项工作的满意度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10</w:t>
      </w:r>
      <w:r>
        <w:rPr>
          <w:rFonts w:ascii="Times New Roman" w:eastAsia="仿宋_GB2312" w:hAnsi="Times New Roman" w:cs="Times New Roman"/>
          <w:sz w:val="28"/>
        </w:rPr>
        <w:t>.</w:t>
      </w:r>
      <w:r>
        <w:rPr>
          <w:rFonts w:ascii="Times New Roman" w:eastAsia="仿宋_GB2312" w:hAnsi="Times New Roman" w:cs="Times New Roman"/>
          <w:sz w:val="28"/>
        </w:rPr>
        <w:t>永清县国土空间总体规划编制项目绩效目标表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65"/>
        <w:gridCol w:w="2490"/>
        <w:gridCol w:w="3730"/>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科学编制本轮永清县城乡总体规划，明确发展战略与目标，合理确定城区发展规模，统筹城区空间格局与功能布局，优化各项要素配置与专项系统，提升城区宜居品质、文化内涵、服务水平、交通效率、城市安全等。</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完成永清县国土空间约</w:t>
            </w:r>
            <w:r>
              <w:rPr>
                <w:rFonts w:ascii="Times New Roman" w:eastAsia="仿宋_GB2312" w:hAnsi="Times New Roman" w:cs="Times New Roman"/>
              </w:rPr>
              <w:t>760</w:t>
            </w:r>
            <w:r>
              <w:rPr>
                <w:rFonts w:ascii="Times New Roman" w:eastAsia="仿宋_GB2312" w:hAnsi="Times New Roman" w:cs="Times New Roman"/>
              </w:rPr>
              <w:t>平方公里总体规划编制。</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反映永清县国土空间总体规划编制方案的完成情况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方案完成及时率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优化国土资源配置</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反映规划方案在统筹城区空间格局与功能布局、优化国土资源配置方面产生的效果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优化</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6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49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73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11</w:t>
      </w:r>
      <w:r>
        <w:rPr>
          <w:rFonts w:ascii="Times New Roman" w:eastAsia="仿宋_GB2312" w:hAnsi="Times New Roman" w:cs="Times New Roman"/>
          <w:sz w:val="28"/>
        </w:rPr>
        <w:t>.</w:t>
      </w:r>
      <w:r>
        <w:rPr>
          <w:rFonts w:ascii="Times New Roman" w:eastAsia="仿宋_GB2312" w:hAnsi="Times New Roman" w:cs="Times New Roman"/>
          <w:sz w:val="28"/>
        </w:rPr>
        <w:t>廊财建【</w:t>
      </w:r>
      <w:r>
        <w:rPr>
          <w:rFonts w:ascii="Times New Roman" w:eastAsia="仿宋_GB2312" w:hAnsi="Times New Roman" w:cs="Times New Roman"/>
          <w:sz w:val="28"/>
        </w:rPr>
        <w:t>2020</w:t>
      </w:r>
      <w:r>
        <w:rPr>
          <w:rFonts w:ascii="Times New Roman" w:eastAsia="仿宋_GB2312" w:hAnsi="Times New Roman" w:cs="Times New Roman"/>
          <w:sz w:val="28"/>
        </w:rPr>
        <w:t>】</w:t>
      </w:r>
      <w:r>
        <w:rPr>
          <w:rFonts w:ascii="Times New Roman" w:eastAsia="仿宋_GB2312" w:hAnsi="Times New Roman" w:cs="Times New Roman"/>
          <w:sz w:val="28"/>
        </w:rPr>
        <w:t>143</w:t>
      </w:r>
      <w:r>
        <w:rPr>
          <w:rFonts w:ascii="Times New Roman" w:eastAsia="仿宋_GB2312" w:hAnsi="Times New Roman" w:cs="Times New Roman"/>
          <w:sz w:val="28"/>
        </w:rPr>
        <w:t>号森林植被恢复费项目绩效目标表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79"/>
        <w:gridCol w:w="1995"/>
        <w:gridCol w:w="2475"/>
        <w:gridCol w:w="3715"/>
        <w:gridCol w:w="1843"/>
        <w:gridCol w:w="2155"/>
      </w:tblGrid>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8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通过项目的实施，提升城市生态环境，提升居民居住条件</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通过项目的实施，提升居民居住条件</w:t>
            </w:r>
          </w:p>
        </w:tc>
      </w:tr>
      <w:tr w:rsidR="00DB2C85">
        <w:trPr>
          <w:cantSplit/>
          <w:trHeight w:val="397"/>
          <w:tblHeader/>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恢复植被面积</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考察恢复的森林植被面积</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400</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7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质量达标率</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考察恢复的森林植被是否达到规定的标准</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7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完成及时性</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考察是否按计划时间完成</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及时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7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7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改善居民居住条件</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通过验收情况及实地走访检测，反映该项目完成后对居民居住条件的改善作用</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改善</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改善城市生态环境</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通过验收情况及实地走访检测，反映该项目完成后对城市生态环境的改善情况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改善</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7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47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71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反映服务对象满意度情况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根据工作计划及调查问卷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w:t>
      </w:r>
      <w:r>
        <w:rPr>
          <w:rFonts w:ascii="Times New Roman" w:eastAsia="仿宋_GB2312" w:hAnsi="Times New Roman" w:cs="Times New Roman"/>
          <w:sz w:val="28"/>
        </w:rPr>
        <w:t>2.2018</w:t>
      </w:r>
      <w:r>
        <w:rPr>
          <w:rFonts w:ascii="Times New Roman" w:eastAsia="仿宋_GB2312" w:hAnsi="Times New Roman" w:cs="Times New Roman"/>
          <w:sz w:val="28"/>
        </w:rPr>
        <w:t>年度土地变更调查与遥感监测项目绩效目标表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w:t>
      </w:r>
      <w:r>
        <w:rPr>
          <w:rFonts w:ascii="Times New Roman" w:eastAsia="仿宋_GB2312" w:hAnsi="Times New Roman" w:cs="Times New Roman"/>
          <w:vanish/>
          <w:sz w:val="28"/>
        </w:rPr>
        <w:t>\l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64"/>
        <w:gridCol w:w="1995"/>
        <w:gridCol w:w="2505"/>
        <w:gridCol w:w="3700"/>
        <w:gridCol w:w="1843"/>
        <w:gridCol w:w="2155"/>
      </w:tblGrid>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9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完成</w:t>
            </w:r>
            <w:r>
              <w:rPr>
                <w:rFonts w:ascii="Times New Roman" w:eastAsia="仿宋_GB2312" w:hAnsi="Times New Roman" w:cs="Times New Roman"/>
              </w:rPr>
              <w:t>2018</w:t>
            </w:r>
            <w:r>
              <w:rPr>
                <w:rFonts w:ascii="Times New Roman" w:eastAsia="仿宋_GB2312" w:hAnsi="Times New Roman" w:cs="Times New Roman"/>
              </w:rPr>
              <w:t>年度国土变更调查上报。</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w:t>
            </w:r>
            <w:r>
              <w:rPr>
                <w:rFonts w:ascii="Times New Roman" w:eastAsia="仿宋_GB2312" w:hAnsi="Times New Roman" w:cs="Times New Roman"/>
              </w:rPr>
              <w:t>2018</w:t>
            </w:r>
            <w:r>
              <w:rPr>
                <w:rFonts w:ascii="Times New Roman" w:eastAsia="仿宋_GB2312" w:hAnsi="Times New Roman" w:cs="Times New Roman"/>
              </w:rPr>
              <w:t>年度国土变更调查上报工作并通过国家核查验收。</w:t>
            </w:r>
          </w:p>
        </w:tc>
      </w:tr>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土地变更调查数据库</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反映土地调查完成情况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依据年度工作计划、合同规定</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成果验收合格率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反映土地变更调查合格率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依据年度工作计划、成果验收单</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满足当前管理工作需要</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反映调查工作成果利用情况，是否满足当前管理工作需要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满足</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依据合同规定</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调查成果使用人员满意度</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反映调查成果使用人员对该项工作的满意度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13</w:t>
      </w:r>
      <w:r>
        <w:rPr>
          <w:rFonts w:ascii="Times New Roman" w:eastAsia="仿宋_GB2312" w:hAnsi="Times New Roman" w:cs="Times New Roman"/>
          <w:sz w:val="28"/>
        </w:rPr>
        <w:t>.</w:t>
      </w:r>
      <w:r>
        <w:rPr>
          <w:rFonts w:ascii="Times New Roman" w:eastAsia="仿宋_GB2312" w:hAnsi="Times New Roman" w:cs="Times New Roman"/>
          <w:sz w:val="28"/>
        </w:rPr>
        <w:t>律师代理费绩效目标表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w:t>
      </w:r>
      <w:r>
        <w:rPr>
          <w:rFonts w:ascii="Times New Roman" w:eastAsia="仿宋_GB2312" w:hAnsi="Times New Roman" w:cs="Times New Roman"/>
          <w:vanish/>
          <w:sz w:val="28"/>
        </w:rPr>
        <w:t>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64"/>
        <w:gridCol w:w="1995"/>
        <w:gridCol w:w="2520"/>
        <w:gridCol w:w="3685"/>
        <w:gridCol w:w="1843"/>
        <w:gridCol w:w="2155"/>
      </w:tblGrid>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绩效目标</w:t>
            </w:r>
          </w:p>
        </w:tc>
        <w:tc>
          <w:tcPr>
            <w:tcW w:w="1219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确保我县追缴土地出让金及违约金工作的顺利进行，避免国有资产流失。</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委托律师代理案件</w:t>
            </w:r>
            <w:r>
              <w:rPr>
                <w:rFonts w:ascii="Times New Roman" w:eastAsia="仿宋_GB2312" w:hAnsi="Times New Roman" w:cs="Times New Roman"/>
              </w:rPr>
              <w:t>4</w:t>
            </w:r>
            <w:r>
              <w:rPr>
                <w:rFonts w:ascii="Times New Roman" w:eastAsia="仿宋_GB2312" w:hAnsi="Times New Roman" w:cs="Times New Roman"/>
              </w:rPr>
              <w:t>件</w:t>
            </w:r>
          </w:p>
        </w:tc>
      </w:tr>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代理案件数量</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反映需代理的案件数量</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工作计划，代理协议</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代理程序规范性</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反映案件代理程序的规范性</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规范</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案件完成及时率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反映案件完成的及时性情况，案件完成及时率</w:t>
            </w:r>
            <w:r>
              <w:rPr>
                <w:rFonts w:ascii="Times New Roman" w:eastAsia="仿宋_GB2312" w:hAnsi="Times New Roman" w:cs="Times New Roman"/>
              </w:rPr>
              <w:t>=</w:t>
            </w:r>
            <w:r>
              <w:rPr>
                <w:rFonts w:ascii="Times New Roman" w:eastAsia="仿宋_GB2312" w:hAnsi="Times New Roman" w:cs="Times New Roman"/>
              </w:rPr>
              <w:t>及时完成的案件数量</w:t>
            </w:r>
            <w:r>
              <w:rPr>
                <w:rFonts w:ascii="Times New Roman" w:eastAsia="仿宋_GB2312" w:hAnsi="Times New Roman" w:cs="Times New Roman"/>
              </w:rPr>
              <w:t>/</w:t>
            </w:r>
            <w:r>
              <w:rPr>
                <w:rFonts w:ascii="Times New Roman" w:eastAsia="仿宋_GB2312" w:hAnsi="Times New Roman" w:cs="Times New Roman"/>
              </w:rPr>
              <w:t>全部案件数量</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反映项目的成本控制情况，成本控制率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资金计划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保障国有资产不受损失</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反映对国有资产的保障情况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反映服务对象的满意度情况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14</w:t>
      </w:r>
      <w:r>
        <w:rPr>
          <w:rFonts w:ascii="Times New Roman" w:eastAsia="仿宋_GB2312" w:hAnsi="Times New Roman" w:cs="Times New Roman"/>
          <w:sz w:val="28"/>
        </w:rPr>
        <w:t>.2020</w:t>
      </w:r>
      <w:r>
        <w:rPr>
          <w:rFonts w:ascii="Times New Roman" w:eastAsia="仿宋_GB2312" w:hAnsi="Times New Roman" w:cs="Times New Roman"/>
          <w:sz w:val="28"/>
        </w:rPr>
        <w:t>年度国土变更调查项目绩效目标表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1995"/>
        <w:gridCol w:w="2520"/>
        <w:gridCol w:w="370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到</w:t>
            </w:r>
            <w:r>
              <w:rPr>
                <w:rFonts w:ascii="Times New Roman" w:eastAsia="仿宋_GB2312" w:hAnsi="Times New Roman" w:cs="Times New Roman"/>
              </w:rPr>
              <w:t>2021</w:t>
            </w:r>
            <w:r>
              <w:rPr>
                <w:rFonts w:ascii="Times New Roman" w:eastAsia="仿宋_GB2312" w:hAnsi="Times New Roman" w:cs="Times New Roman"/>
              </w:rPr>
              <w:t>年底完成</w:t>
            </w:r>
            <w:r>
              <w:rPr>
                <w:rFonts w:ascii="Times New Roman" w:eastAsia="仿宋_GB2312" w:hAnsi="Times New Roman" w:cs="Times New Roman"/>
              </w:rPr>
              <w:t>2020</w:t>
            </w:r>
            <w:r>
              <w:rPr>
                <w:rFonts w:ascii="Times New Roman" w:eastAsia="仿宋_GB2312" w:hAnsi="Times New Roman" w:cs="Times New Roman"/>
              </w:rPr>
              <w:t>年度国土变更调查上报工作</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到</w:t>
            </w:r>
            <w:r>
              <w:rPr>
                <w:rFonts w:ascii="Times New Roman" w:eastAsia="仿宋_GB2312" w:hAnsi="Times New Roman" w:cs="Times New Roman"/>
              </w:rPr>
              <w:t>2021</w:t>
            </w:r>
            <w:r>
              <w:rPr>
                <w:rFonts w:ascii="Times New Roman" w:eastAsia="仿宋_GB2312" w:hAnsi="Times New Roman" w:cs="Times New Roman"/>
              </w:rPr>
              <w:t>年底完成</w:t>
            </w:r>
            <w:r>
              <w:rPr>
                <w:rFonts w:ascii="Times New Roman" w:eastAsia="仿宋_GB2312" w:hAnsi="Times New Roman" w:cs="Times New Roman"/>
              </w:rPr>
              <w:t>2020</w:t>
            </w:r>
            <w:r>
              <w:rPr>
                <w:rFonts w:ascii="Times New Roman" w:eastAsia="仿宋_GB2312" w:hAnsi="Times New Roman" w:cs="Times New Roman"/>
              </w:rPr>
              <w:t>年度国土变更调查上报工作并通过国家核查验收</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全县土地利用现状调查完成率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实际调查土地面积与计划调查土地面积的比值</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图斑差错率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反映国土调查图斑差错率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≥2%</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依据国家和省统一要求</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调查工作完成及时率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反应调查工作完成情况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满足当前国土资源管理工作需要</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反映国土调查工作成果利用情况，是否满足当前国土资源管理工作需要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满足</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DB2C85">
            <w:pPr>
              <w:spacing w:line="300" w:lineRule="exact"/>
              <w:jc w:val="center"/>
              <w:rPr>
                <w:rFonts w:ascii="Times New Roman" w:eastAsia="仿宋_GB2312" w:hAnsi="Times New Roman" w:cs="Times New Roman"/>
              </w:rPr>
            </w:pPr>
          </w:p>
        </w:tc>
        <w:tc>
          <w:tcPr>
            <w:tcW w:w="2520" w:type="dxa"/>
            <w:shd w:val="clear" w:color="auto" w:fill="auto"/>
            <w:vAlign w:val="center"/>
          </w:tcPr>
          <w:p w:rsidR="00DB2C85" w:rsidRDefault="00DB2C85">
            <w:pPr>
              <w:spacing w:line="300" w:lineRule="exact"/>
              <w:jc w:val="center"/>
              <w:rPr>
                <w:rFonts w:ascii="Times New Roman" w:eastAsia="仿宋_GB2312" w:hAnsi="Times New Roman" w:cs="Times New Roman"/>
              </w:rPr>
            </w:pPr>
          </w:p>
        </w:tc>
        <w:tc>
          <w:tcPr>
            <w:tcW w:w="3700" w:type="dxa"/>
            <w:shd w:val="clear" w:color="auto" w:fill="auto"/>
            <w:vAlign w:val="center"/>
          </w:tcPr>
          <w:p w:rsidR="00DB2C85" w:rsidRDefault="00DB2C85">
            <w:pPr>
              <w:spacing w:line="300" w:lineRule="exact"/>
              <w:jc w:val="center"/>
              <w:rPr>
                <w:rFonts w:ascii="Times New Roman" w:eastAsia="仿宋_GB2312" w:hAnsi="Times New Roman" w:cs="Times New Roman"/>
              </w:rPr>
            </w:pPr>
          </w:p>
        </w:tc>
        <w:tc>
          <w:tcPr>
            <w:tcW w:w="1843" w:type="dxa"/>
            <w:shd w:val="clear" w:color="auto" w:fill="auto"/>
            <w:vAlign w:val="center"/>
          </w:tcPr>
          <w:p w:rsidR="00DB2C85" w:rsidRDefault="00DB2C85">
            <w:pPr>
              <w:spacing w:line="300" w:lineRule="exact"/>
              <w:jc w:val="center"/>
              <w:rPr>
                <w:rFonts w:ascii="Times New Roman" w:eastAsia="仿宋_GB2312" w:hAnsi="Times New Roman" w:cs="Times New Roman"/>
              </w:rPr>
            </w:pPr>
          </w:p>
        </w:tc>
        <w:tc>
          <w:tcPr>
            <w:tcW w:w="2155" w:type="dxa"/>
            <w:shd w:val="clear" w:color="auto" w:fill="auto"/>
            <w:vAlign w:val="center"/>
          </w:tcPr>
          <w:p w:rsidR="00DB2C85" w:rsidRDefault="00DB2C85">
            <w:pPr>
              <w:spacing w:line="300" w:lineRule="exact"/>
              <w:jc w:val="center"/>
              <w:rPr>
                <w:rFonts w:ascii="Times New Roman" w:eastAsia="仿宋_GB2312" w:hAnsi="Times New Roman" w:cs="Times New Roman"/>
              </w:rPr>
            </w:pP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2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调查成果使用人员满意度</w:t>
            </w:r>
          </w:p>
        </w:tc>
        <w:tc>
          <w:tcPr>
            <w:tcW w:w="370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反映调查成果使用人员对该项工作的满意度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15</w:t>
      </w:r>
      <w:r>
        <w:rPr>
          <w:rFonts w:ascii="Times New Roman" w:eastAsia="仿宋_GB2312" w:hAnsi="Times New Roman" w:cs="Times New Roman"/>
          <w:sz w:val="28"/>
        </w:rPr>
        <w:t>.</w:t>
      </w:r>
      <w:r>
        <w:rPr>
          <w:rFonts w:ascii="Times New Roman" w:eastAsia="仿宋_GB2312" w:hAnsi="Times New Roman" w:cs="Times New Roman"/>
          <w:sz w:val="28"/>
        </w:rPr>
        <w:t>永清经济开发区临空拓展区专题研究项目绩效目标表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1995"/>
        <w:gridCol w:w="2535"/>
        <w:gridCol w:w="3685"/>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方正书宋_GBK" w:eastAsia="方正书宋_GBK"/>
              </w:rPr>
              <w:t>1</w:t>
            </w:r>
            <w:r>
              <w:rPr>
                <w:rFonts w:ascii="Times New Roman" w:eastAsia="仿宋_GB2312" w:hAnsi="Times New Roman" w:cs="Times New Roman"/>
              </w:rPr>
              <w:t>.</w:t>
            </w:r>
            <w:r>
              <w:rPr>
                <w:rFonts w:ascii="Times New Roman" w:eastAsia="仿宋_GB2312" w:hAnsi="Times New Roman" w:cs="Times New Roman"/>
              </w:rPr>
              <w:t>通过科学开展永清经济开发区临空拓展区专题研究，深入对接大兴机场临空经济区，促进永清经济开发区临空拓展区发展，为国土空间总体规划编制提供支撑。</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完成永清经济开发区临空拓展区约</w:t>
            </w:r>
            <w:r>
              <w:rPr>
                <w:rFonts w:ascii="Times New Roman" w:eastAsia="仿宋_GB2312" w:hAnsi="Times New Roman" w:cs="Times New Roman"/>
              </w:rPr>
              <w:t>10</w:t>
            </w:r>
            <w:r>
              <w:rPr>
                <w:rFonts w:ascii="Times New Roman" w:eastAsia="仿宋_GB2312" w:hAnsi="Times New Roman" w:cs="Times New Roman"/>
              </w:rPr>
              <w:t>平方公里用地规划研究。</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反映永清经济开发区临空拓展区专题研究规划方案的完成情况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方案完成及时率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促进开发区临空拓展区发展</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反映规划方案在促进永清经济开发区临空拓展区发展方面产生的效果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文字描述</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53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16</w:t>
      </w:r>
      <w:r>
        <w:rPr>
          <w:rFonts w:ascii="Times New Roman" w:eastAsia="仿宋_GB2312" w:hAnsi="Times New Roman" w:cs="Times New Roman"/>
          <w:sz w:val="28"/>
        </w:rPr>
        <w:t>.</w:t>
      </w:r>
      <w:r>
        <w:rPr>
          <w:rFonts w:ascii="Times New Roman" w:eastAsia="仿宋_GB2312" w:hAnsi="Times New Roman" w:cs="Times New Roman"/>
          <w:sz w:val="28"/>
        </w:rPr>
        <w:t>法律服务费绩效目标表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1995"/>
        <w:gridCol w:w="2625"/>
        <w:gridCol w:w="3595"/>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lastRenderedPageBreak/>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通过开展本项目，购买法律服务，聘请常年法律顾问，落实省级</w:t>
            </w:r>
            <w:r>
              <w:rPr>
                <w:rFonts w:ascii="Times New Roman" w:eastAsia="仿宋_GB2312" w:hAnsi="Times New Roman" w:cs="Times New Roman"/>
              </w:rPr>
              <w:t>“</w:t>
            </w:r>
            <w:r>
              <w:rPr>
                <w:rFonts w:ascii="Times New Roman" w:eastAsia="仿宋_GB2312" w:hAnsi="Times New Roman" w:cs="Times New Roman"/>
              </w:rPr>
              <w:t>抓紧建立健全政府法律顾问队伍</w:t>
            </w:r>
            <w:r>
              <w:rPr>
                <w:rFonts w:ascii="Times New Roman" w:eastAsia="仿宋_GB2312" w:hAnsi="Times New Roman" w:cs="Times New Roman"/>
              </w:rPr>
              <w:t>”</w:t>
            </w:r>
            <w:r>
              <w:rPr>
                <w:rFonts w:ascii="Times New Roman" w:eastAsia="仿宋_GB2312" w:hAnsi="Times New Roman" w:cs="Times New Roman"/>
              </w:rPr>
              <w:t>意见，大力推进了我县依法行政。</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委托律师事务所代为处理涉及自然资源和规划领域的行政复议、行政诉讼等法律事务，同时聘请常年法律顾问</w:t>
            </w:r>
            <w:r>
              <w:rPr>
                <w:rFonts w:ascii="Times New Roman" w:eastAsia="仿宋_GB2312" w:hAnsi="Times New Roman" w:cs="Times New Roman"/>
              </w:rPr>
              <w:t>1</w:t>
            </w:r>
            <w:r>
              <w:rPr>
                <w:rFonts w:ascii="Times New Roman" w:eastAsia="仿宋_GB2312" w:hAnsi="Times New Roman" w:cs="Times New Roman"/>
              </w:rPr>
              <w:t>名，</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聘请律师事务所数量</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反映购买法律服务中聘请的律师事务所数量</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聘请常年法律顾问人数</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反映购买法律服务中聘请的常年法律顾问人数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名</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律师事务所及法律顾问资质达标率</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反映律师事务所及法律顾问资质达标情况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案件处理及咨询答复及时性</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反映律师事务所处理案件及法律顾问答复法律咨询的及时情况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及时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根据合同约定</w:t>
            </w:r>
          </w:p>
        </w:tc>
      </w:tr>
      <w:tr w:rsidR="00DB2C85">
        <w:trPr>
          <w:cantSplit/>
          <w:trHeight w:val="369"/>
          <w:jc w:val="center"/>
        </w:trPr>
        <w:tc>
          <w:tcPr>
            <w:tcW w:w="1849"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推进依法行政</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反映购买法律服务后对我县依法行政的推进情况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推进</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62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居民满意度</w:t>
            </w:r>
          </w:p>
        </w:tc>
        <w:tc>
          <w:tcPr>
            <w:tcW w:w="35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反映永清县居民对本部门依法行政情况的满意度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17</w:t>
      </w:r>
      <w:r>
        <w:rPr>
          <w:rFonts w:ascii="Times New Roman" w:eastAsia="仿宋_GB2312" w:hAnsi="Times New Roman" w:cs="Times New Roman"/>
          <w:sz w:val="28"/>
        </w:rPr>
        <w:t>.</w:t>
      </w:r>
      <w:r>
        <w:rPr>
          <w:rFonts w:ascii="Times New Roman" w:eastAsia="仿宋_GB2312" w:hAnsi="Times New Roman" w:cs="Times New Roman"/>
          <w:sz w:val="28"/>
        </w:rPr>
        <w:t>不动产登记局水电物业费、证本费等绩效目标表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64"/>
        <w:gridCol w:w="1995"/>
        <w:gridCol w:w="2655"/>
        <w:gridCol w:w="3550"/>
        <w:gridCol w:w="1843"/>
        <w:gridCol w:w="2155"/>
      </w:tblGrid>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9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保障不动产登记中心日常工作正常运行。</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在不动产登记中心运转过程中，印刷不动产证书不低于</w:t>
            </w:r>
            <w:r>
              <w:rPr>
                <w:rFonts w:ascii="Times New Roman" w:eastAsia="仿宋_GB2312" w:hAnsi="Times New Roman" w:cs="Times New Roman"/>
              </w:rPr>
              <w:t>15000</w:t>
            </w:r>
            <w:r>
              <w:rPr>
                <w:rFonts w:ascii="Times New Roman" w:eastAsia="仿宋_GB2312" w:hAnsi="Times New Roman" w:cs="Times New Roman"/>
              </w:rPr>
              <w:t>本，印刷登记证明数量不低于</w:t>
            </w:r>
            <w:r>
              <w:rPr>
                <w:rFonts w:ascii="Times New Roman" w:eastAsia="仿宋_GB2312" w:hAnsi="Times New Roman" w:cs="Times New Roman"/>
              </w:rPr>
              <w:t>8000</w:t>
            </w:r>
            <w:r>
              <w:rPr>
                <w:rFonts w:ascii="Times New Roman" w:eastAsia="仿宋_GB2312" w:hAnsi="Times New Roman" w:cs="Times New Roman"/>
              </w:rPr>
              <w:t>份</w:t>
            </w:r>
          </w:p>
        </w:tc>
      </w:tr>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印刷不动产证书数量</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反映需印刷的不动产证书数量</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≥15000</w:t>
            </w:r>
            <w:r>
              <w:rPr>
                <w:rFonts w:ascii="Times New Roman" w:eastAsia="仿宋_GB2312" w:hAnsi="Times New Roman" w:cs="Times New Roman"/>
              </w:rPr>
              <w:t>本</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工作计划，购销合同</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印刷品质量合格率</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反映印刷品的质量合格情况，印刷品质量合格率</w:t>
            </w:r>
            <w:r>
              <w:rPr>
                <w:rFonts w:ascii="Times New Roman" w:eastAsia="仿宋_GB2312" w:hAnsi="Times New Roman" w:cs="Times New Roman"/>
              </w:rPr>
              <w:t>=</w:t>
            </w:r>
            <w:r>
              <w:rPr>
                <w:rFonts w:ascii="Times New Roman" w:eastAsia="仿宋_GB2312" w:hAnsi="Times New Roman" w:cs="Times New Roman"/>
              </w:rPr>
              <w:t>合格的印刷品数量</w:t>
            </w:r>
            <w:r>
              <w:rPr>
                <w:rFonts w:ascii="Times New Roman" w:eastAsia="仿宋_GB2312" w:hAnsi="Times New Roman" w:cs="Times New Roman"/>
              </w:rPr>
              <w:t>/</w:t>
            </w:r>
            <w:r>
              <w:rPr>
                <w:rFonts w:ascii="Times New Roman" w:eastAsia="仿宋_GB2312" w:hAnsi="Times New Roman" w:cs="Times New Roman"/>
              </w:rPr>
              <w:t>印刷品总数量</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印刷及时率</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反映印刷的及时情况，印刷及时率</w:t>
            </w:r>
            <w:r>
              <w:rPr>
                <w:rFonts w:ascii="Times New Roman" w:eastAsia="仿宋_GB2312" w:hAnsi="Times New Roman" w:cs="Times New Roman"/>
              </w:rPr>
              <w:t>=</w:t>
            </w:r>
            <w:r>
              <w:rPr>
                <w:rFonts w:ascii="Times New Roman" w:eastAsia="仿宋_GB2312" w:hAnsi="Times New Roman" w:cs="Times New Roman"/>
              </w:rPr>
              <w:t>及时印刷的数量</w:t>
            </w:r>
            <w:r>
              <w:rPr>
                <w:rFonts w:ascii="Times New Roman" w:eastAsia="仿宋_GB2312" w:hAnsi="Times New Roman" w:cs="Times New Roman"/>
              </w:rPr>
              <w:t>/</w:t>
            </w:r>
            <w:r>
              <w:rPr>
                <w:rFonts w:ascii="Times New Roman" w:eastAsia="仿宋_GB2312" w:hAnsi="Times New Roman" w:cs="Times New Roman"/>
              </w:rPr>
              <w:t>印刷总数量</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反映项目的成本控制情况，成本控制率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资金计划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保障日常工作正常运行</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反映对不动产登记中心日常工作正常运行的保障作用</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199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6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使用人员满意度</w:t>
            </w:r>
          </w:p>
        </w:tc>
        <w:tc>
          <w:tcPr>
            <w:tcW w:w="355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反映使用人员的满意度情况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18</w:t>
      </w:r>
      <w:r>
        <w:rPr>
          <w:rFonts w:ascii="Times New Roman" w:eastAsia="仿宋_GB2312" w:hAnsi="Times New Roman" w:cs="Times New Roman"/>
          <w:sz w:val="28"/>
        </w:rPr>
        <w:t>.</w:t>
      </w:r>
      <w:r>
        <w:rPr>
          <w:rFonts w:ascii="Times New Roman" w:eastAsia="仿宋_GB2312" w:hAnsi="Times New Roman" w:cs="Times New Roman"/>
          <w:sz w:val="28"/>
        </w:rPr>
        <w:t>廊财建【</w:t>
      </w:r>
      <w:r>
        <w:rPr>
          <w:rFonts w:ascii="Times New Roman" w:eastAsia="仿宋_GB2312" w:hAnsi="Times New Roman" w:cs="Times New Roman"/>
          <w:sz w:val="28"/>
        </w:rPr>
        <w:t>2020</w:t>
      </w:r>
      <w:r>
        <w:rPr>
          <w:rFonts w:ascii="Times New Roman" w:eastAsia="仿宋_GB2312" w:hAnsi="Times New Roman" w:cs="Times New Roman"/>
          <w:sz w:val="28"/>
        </w:rPr>
        <w:t>】</w:t>
      </w:r>
      <w:r>
        <w:rPr>
          <w:rFonts w:ascii="Times New Roman" w:eastAsia="仿宋_GB2312" w:hAnsi="Times New Roman" w:cs="Times New Roman"/>
          <w:sz w:val="28"/>
        </w:rPr>
        <w:t>143</w:t>
      </w:r>
      <w:r>
        <w:rPr>
          <w:rFonts w:ascii="Times New Roman" w:eastAsia="仿宋_GB2312" w:hAnsi="Times New Roman" w:cs="Times New Roman"/>
          <w:sz w:val="28"/>
        </w:rPr>
        <w:t>号现代林业花卉产业建设补助绩效目标表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64"/>
        <w:gridCol w:w="2010"/>
        <w:gridCol w:w="2685"/>
        <w:gridCol w:w="3505"/>
        <w:gridCol w:w="1843"/>
        <w:gridCol w:w="2155"/>
      </w:tblGrid>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198"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通过项目的实施，促进现代林果花卉产业的发展</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通过项目的实施是否促进了现代林果花卉产业的发展</w:t>
            </w:r>
          </w:p>
        </w:tc>
      </w:tr>
      <w:tr w:rsidR="00DB2C85">
        <w:trPr>
          <w:cantSplit/>
          <w:trHeight w:val="397"/>
          <w:tblHeader/>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64"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补助企业数量</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反映需补助的企业数量</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受补助对象的资质合格率</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反映受补助对象的资质是否合格</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补助发放的及时性</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考察是否按计划时间完成补助的发放</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及时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64"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促进现代林果花卉产业的发展</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考察通过项目的实施是否促进了现代林果花卉产业的发展</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促进</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年度工作计划及调查问卷</w:t>
            </w:r>
          </w:p>
        </w:tc>
      </w:tr>
      <w:tr w:rsidR="00DB2C85">
        <w:trPr>
          <w:cantSplit/>
          <w:trHeight w:val="369"/>
          <w:jc w:val="center"/>
        </w:trPr>
        <w:tc>
          <w:tcPr>
            <w:tcW w:w="1864"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68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50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反映服务对象满意度情况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根据工作计划及调查问卷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19</w:t>
      </w:r>
      <w:r>
        <w:rPr>
          <w:rFonts w:ascii="Times New Roman" w:eastAsia="仿宋_GB2312" w:hAnsi="Times New Roman" w:cs="Times New Roman"/>
          <w:sz w:val="28"/>
        </w:rPr>
        <w:t>.</w:t>
      </w:r>
      <w:r>
        <w:rPr>
          <w:rFonts w:ascii="Times New Roman" w:eastAsia="仿宋_GB2312" w:hAnsi="Times New Roman" w:cs="Times New Roman"/>
          <w:sz w:val="28"/>
        </w:rPr>
        <w:t>永清县城市环境卫生设施专项规划项目绩效目标表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通过科学编制永清县城市环境卫生设施专项规划，完善城市环境卫生设施建设，促进省级</w:t>
            </w:r>
            <w:r>
              <w:rPr>
                <w:rFonts w:ascii="Times New Roman" w:eastAsia="仿宋_GB2312" w:hAnsi="Times New Roman" w:cs="Times New Roman"/>
              </w:rPr>
              <w:t>“</w:t>
            </w:r>
            <w:r>
              <w:rPr>
                <w:rFonts w:ascii="Times New Roman" w:eastAsia="仿宋_GB2312" w:hAnsi="Times New Roman" w:cs="Times New Roman"/>
              </w:rPr>
              <w:t>洁净城市</w:t>
            </w:r>
            <w:r>
              <w:rPr>
                <w:rFonts w:ascii="Times New Roman" w:eastAsia="仿宋_GB2312" w:hAnsi="Times New Roman" w:cs="Times New Roman"/>
              </w:rPr>
              <w:t>”</w:t>
            </w:r>
            <w:r>
              <w:rPr>
                <w:rFonts w:ascii="Times New Roman" w:eastAsia="仿宋_GB2312" w:hAnsi="Times New Roman" w:cs="Times New Roman"/>
              </w:rPr>
              <w:t>创建。</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完成永清县中心城区城市环境卫生设施专项规划，包括老城区、高新区、经开区范围。</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反映永清县城市环境卫生设施专项规划的完成情况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方案完成及时率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提升城市环卫设施水平</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反映城市环境卫生设施专项规划在提升城市环卫设施水平方面产生的效果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20.</w:t>
      </w:r>
      <w:r>
        <w:rPr>
          <w:rFonts w:ascii="Times New Roman" w:eastAsia="仿宋_GB2312" w:hAnsi="Times New Roman" w:cs="Times New Roman"/>
          <w:sz w:val="28"/>
        </w:rPr>
        <w:t>永久基本农田划定成果核实和储备区划定项目绩效目标表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w:t>
      </w:r>
      <w:r>
        <w:rPr>
          <w:rFonts w:ascii="Times New Roman" w:eastAsia="仿宋_GB2312" w:hAnsi="Times New Roman" w:cs="Times New Roman"/>
          <w:vanish/>
          <w:sz w:val="28"/>
        </w:rPr>
        <w:t xml:space="preserve">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通过项目的开展解决永久基本农田划定不实问题、违法违规建设占用问题，完善保护措施，提高监管水平，确保国家粮食安全和农产品质量安全，加强耕地数量、质量、生态</w:t>
            </w:r>
            <w:r>
              <w:rPr>
                <w:rFonts w:ascii="Times New Roman" w:eastAsia="仿宋_GB2312" w:hAnsi="Times New Roman" w:cs="Times New Roman"/>
              </w:rPr>
              <w:t>“</w:t>
            </w:r>
            <w:r>
              <w:rPr>
                <w:rFonts w:ascii="Times New Roman" w:eastAsia="仿宋_GB2312" w:hAnsi="Times New Roman" w:cs="Times New Roman"/>
              </w:rPr>
              <w:t>三位一体</w:t>
            </w:r>
            <w:r>
              <w:rPr>
                <w:rFonts w:ascii="Times New Roman" w:eastAsia="仿宋_GB2312" w:hAnsi="Times New Roman" w:cs="Times New Roman"/>
              </w:rPr>
              <w:t>”</w:t>
            </w:r>
            <w:r>
              <w:rPr>
                <w:rFonts w:ascii="Times New Roman" w:eastAsia="仿宋_GB2312" w:hAnsi="Times New Roman" w:cs="Times New Roman"/>
              </w:rPr>
              <w:t>保护，保障保护有力、集约高效、</w:t>
            </w:r>
            <w:r>
              <w:rPr>
                <w:rFonts w:ascii="Times New Roman" w:eastAsia="仿宋_GB2312" w:hAnsi="Times New Roman" w:cs="Times New Roman"/>
              </w:rPr>
              <w:t xml:space="preserve"> </w:t>
            </w:r>
            <w:r>
              <w:rPr>
                <w:rFonts w:ascii="Times New Roman" w:eastAsia="仿宋_GB2312" w:hAnsi="Times New Roman" w:cs="Times New Roman"/>
              </w:rPr>
              <w:t>监管严格的永久基本农田特殊保护新格局的构建，牢牢守住耕地红线的达成。</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更新永久基本农田数据库</w:t>
            </w:r>
            <w:r>
              <w:rPr>
                <w:rFonts w:ascii="Times New Roman" w:eastAsia="仿宋_GB2312" w:hAnsi="Times New Roman" w:cs="Times New Roman"/>
              </w:rPr>
              <w:t>1</w:t>
            </w:r>
            <w:r>
              <w:rPr>
                <w:rFonts w:ascii="Times New Roman" w:eastAsia="仿宋_GB2312" w:hAnsi="Times New Roman" w:cs="Times New Roman"/>
              </w:rPr>
              <w:t>个</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更新数据库数量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反映需更新的数据库数量，需更新永久基本农田数据库。</w:t>
            </w:r>
          </w:p>
          <w:p w:rsidR="00DB2C85" w:rsidRDefault="00DB2C85">
            <w:pPr>
              <w:spacing w:line="300" w:lineRule="exact"/>
              <w:jc w:val="center"/>
              <w:rPr>
                <w:rFonts w:ascii="Times New Roman" w:eastAsia="仿宋_GB2312" w:hAnsi="Times New Roman" w:cs="Times New Roman"/>
              </w:rPr>
            </w:pP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个</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数据库质量合格率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通过河北省自然资源厅审核并备案</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工作完成及时性</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反映各项工作完成的及时性情况，按规定时间节点保质保量完成成果提交</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及时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反映项目的成本控制情况，成本控制率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资金计划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提高对永久基本农田的监管水平</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反映对永久基本农田监管的提升作用</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提高</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使用人员满意度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反映使用人员的满意度情况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21.</w:t>
      </w:r>
      <w:r>
        <w:rPr>
          <w:rFonts w:ascii="Times New Roman" w:eastAsia="仿宋_GB2312" w:hAnsi="Times New Roman" w:cs="Times New Roman"/>
          <w:sz w:val="28"/>
        </w:rPr>
        <w:t>2021</w:t>
      </w:r>
      <w:r>
        <w:rPr>
          <w:rFonts w:ascii="Times New Roman" w:eastAsia="仿宋_GB2312" w:hAnsi="Times New Roman" w:cs="Times New Roman"/>
          <w:sz w:val="28"/>
        </w:rPr>
        <w:t>年京雄高铁绿化土地流转项目绩效目标表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完成对农民的</w:t>
            </w:r>
            <w:r>
              <w:rPr>
                <w:rFonts w:ascii="Times New Roman" w:eastAsia="仿宋_GB2312" w:hAnsi="Times New Roman" w:cs="Times New Roman"/>
              </w:rPr>
              <w:t>2806</w:t>
            </w:r>
            <w:r>
              <w:rPr>
                <w:rFonts w:ascii="Times New Roman" w:eastAsia="仿宋_GB2312" w:hAnsi="Times New Roman" w:cs="Times New Roman"/>
              </w:rPr>
              <w:t>亩土地进行流转，为后续确保高铁生态廊道绿化工程的顺利实施。</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绿化土地流转面积</w:t>
            </w:r>
            <w:r>
              <w:rPr>
                <w:rFonts w:ascii="Times New Roman" w:eastAsia="仿宋_GB2312" w:hAnsi="Times New Roman" w:cs="Times New Roman"/>
              </w:rPr>
              <w:t>2806</w:t>
            </w:r>
            <w:r>
              <w:rPr>
                <w:rFonts w:ascii="Times New Roman" w:eastAsia="仿宋_GB2312" w:hAnsi="Times New Roman" w:cs="Times New Roman"/>
              </w:rPr>
              <w:t>亩</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绿化土地流转面积</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考察绿化土地流转面积（实际成本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2806</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相关政策永政办</w:t>
            </w:r>
            <w:r>
              <w:rPr>
                <w:rFonts w:ascii="Times New Roman" w:eastAsia="仿宋_GB2312" w:hAnsi="Times New Roman" w:cs="Times New Roman"/>
              </w:rPr>
              <w:t>[2019]49</w:t>
            </w:r>
            <w:r>
              <w:rPr>
                <w:rFonts w:ascii="Times New Roman" w:eastAsia="仿宋_GB2312" w:hAnsi="Times New Roman" w:cs="Times New Roman"/>
              </w:rPr>
              <w:t>号《京雄高铁永清段生态廊道绿化工程实施方案》、《永清县京雄高铁廊道绿化工作方案》</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土地流转程序合规率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考察绿地土地流转程序是否合规</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依据土地流转相关法律法规及第三方验收报告</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考察项目完成的及时率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依据实际完成情况和合同</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保障生态廊道绿化顺利实施</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考察土地流转能够保障高铁生态廊道绿化工程顺利实施</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依据实际完成情况</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提升京雄高铁生态绿化</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考察土地流转能够给京廊高铁后续造林绿化提供条件</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合同</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村民满意度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考察村民对该项工作的满意程度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22.</w:t>
      </w:r>
      <w:r>
        <w:rPr>
          <w:rFonts w:ascii="Times New Roman" w:eastAsia="仿宋_GB2312" w:hAnsi="Times New Roman" w:cs="Times New Roman"/>
          <w:sz w:val="28"/>
        </w:rPr>
        <w:t>永清县村庄布局专题研究项目绩效目标表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通过科学开展永清县村庄布局专题研究，深入研究全县村庄现状，优化村庄空间布局，提升全县村庄基础设施建设、促进乡村振兴以及为国土空间总体规划编制提供支撑。</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完成永清县全县域</w:t>
            </w:r>
            <w:r>
              <w:rPr>
                <w:rFonts w:ascii="Times New Roman" w:eastAsia="仿宋_GB2312" w:hAnsi="Times New Roman" w:cs="Times New Roman"/>
              </w:rPr>
              <w:t>365</w:t>
            </w:r>
            <w:r>
              <w:rPr>
                <w:rFonts w:ascii="Times New Roman" w:eastAsia="仿宋_GB2312" w:hAnsi="Times New Roman" w:cs="Times New Roman"/>
              </w:rPr>
              <w:t>个村庄布局研究。</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反映永清县村庄布局专题研究规划方案的完成情况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方案完成及时率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优化村庄空间布局</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反映规划方案在优化永清县村庄空间布局方面产生的效果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23.</w:t>
      </w:r>
      <w:r>
        <w:rPr>
          <w:rFonts w:ascii="Times New Roman" w:eastAsia="仿宋_GB2312" w:hAnsi="Times New Roman" w:cs="Times New Roman"/>
          <w:sz w:val="28"/>
        </w:rPr>
        <w:t>编制《省级森林城市总体规划》资金绩效目标表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组织专业机构，高质量编制森林城市建设总体规划，推进我县省级森林城市创建工作顺利开展。</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完成至少</w:t>
            </w:r>
            <w:r>
              <w:rPr>
                <w:rFonts w:ascii="Times New Roman" w:eastAsia="仿宋_GB2312" w:hAnsi="Times New Roman" w:cs="Times New Roman"/>
              </w:rPr>
              <w:t>10</w:t>
            </w:r>
            <w:r>
              <w:rPr>
                <w:rFonts w:ascii="Times New Roman" w:eastAsia="仿宋_GB2312" w:hAnsi="Times New Roman" w:cs="Times New Roman"/>
              </w:rPr>
              <w:t>年期的森林城市建设总体规划。</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完成规划方案数量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反映永清县编制《省级森林城市总体规划》方案的完成情况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方案完成及时率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指导创建省级森林城市</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考察项目对创建省级森林城市指导作用</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有指导作用</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根据《关于编制〈省级森林城市建设总体规划〉的资金申请》、年度工作计划、专家评审</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可持续影响指标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持续促进森林城市建设</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考察规划方案对森林城市建设促进作用的持续性</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w:t>
            </w:r>
            <w:r>
              <w:rPr>
                <w:rFonts w:ascii="Times New Roman" w:eastAsia="仿宋_GB2312" w:hAnsi="Times New Roman" w:cs="Times New Roman"/>
              </w:rPr>
              <w:t>年</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根据《关于编制〈省级森林城市建设总体规划〉的资金申请》</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24.</w:t>
      </w:r>
      <w:r>
        <w:rPr>
          <w:rFonts w:ascii="Times New Roman" w:eastAsia="仿宋_GB2312" w:hAnsi="Times New Roman" w:cs="Times New Roman"/>
          <w:sz w:val="28"/>
        </w:rPr>
        <w:t>永清县自然资源和规划局京台高速绿化工程管护项目绩效目标表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通过项目的实施，确保京台高速两侧抚育管护工程按时高质量完成。</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验收面积</w:t>
            </w:r>
            <w:r>
              <w:rPr>
                <w:rFonts w:ascii="Times New Roman" w:eastAsia="仿宋_GB2312" w:hAnsi="Times New Roman" w:cs="Times New Roman"/>
              </w:rPr>
              <w:t>8000</w:t>
            </w:r>
            <w:r>
              <w:rPr>
                <w:rFonts w:ascii="Times New Roman" w:eastAsia="仿宋_GB2312" w:hAnsi="Times New Roman" w:cs="Times New Roman"/>
              </w:rPr>
              <w:t>亩</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验收面积</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考察绿化工程管护项目验收完成情况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8000</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实施方案、合同约定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验收报告合格率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考察第三方验收报告是否按照相关规定进行编制</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验收报告</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保障绿化工程管护项目高质量完成</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考察京台高速绿化工程管护项目的验收成果。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依据年度工作计划、合同约定及问卷调查</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验收成果满意度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对项目实施效果的满意程度。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25.</w:t>
      </w:r>
      <w:r>
        <w:rPr>
          <w:rFonts w:ascii="Times New Roman" w:eastAsia="仿宋_GB2312" w:hAnsi="Times New Roman" w:cs="Times New Roman"/>
          <w:sz w:val="28"/>
        </w:rPr>
        <w:t>永清县自然资源和规划局第三次全国国土调查项目绩效目标表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在第二次全国土地调查成果基础上，全面细化和完善土地利用基础数据，直接掌握土地利用现状和土地资源变化情况，进一步完善土地调查、监测和统计制度，实现成果信息化管理与共享，满足生态文明建设、空间规划编制、供给侧结构性改革、宏观调控、自然资源管理体制改革和统一确权登记、国土空间用途管制等各项工作的需要。</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完成永清县全县域约</w:t>
            </w:r>
            <w:r>
              <w:rPr>
                <w:rFonts w:ascii="Times New Roman" w:eastAsia="仿宋_GB2312" w:hAnsi="Times New Roman" w:cs="Times New Roman"/>
              </w:rPr>
              <w:t>760</w:t>
            </w:r>
            <w:r>
              <w:rPr>
                <w:rFonts w:ascii="Times New Roman" w:eastAsia="仿宋_GB2312" w:hAnsi="Times New Roman" w:cs="Times New Roman"/>
              </w:rPr>
              <w:t>平方公里国土调查</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完成国土调查范围</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反映是否完成永清县全县域约</w:t>
            </w:r>
            <w:r>
              <w:rPr>
                <w:rFonts w:ascii="Times New Roman" w:eastAsia="仿宋_GB2312" w:hAnsi="Times New Roman" w:cs="Times New Roman"/>
              </w:rPr>
              <w:t>760</w:t>
            </w:r>
            <w:r>
              <w:rPr>
                <w:rFonts w:ascii="Times New Roman" w:eastAsia="仿宋_GB2312" w:hAnsi="Times New Roman" w:cs="Times New Roman"/>
              </w:rPr>
              <w:t>平方公里国土调查</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全县域</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根据省市级要求及年度工作计划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项目验收通过率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反映调查成果是否通过上级验收</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根据省市文件及合同约定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反映调查工作是否及时完成，（实际完成时间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根据省市文件及合同约定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依据年度资金支出计划及预算安排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完善土地利用基础数据</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反映调查成果在全面细化和完善土地利用基础数据，直接掌握土地利用现状和土地资源变化情况方面产生的直接效果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完善</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根据省市文件及合同约定</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lastRenderedPageBreak/>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反映调查成果的使用人员满意度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26.</w:t>
      </w:r>
      <w:r>
        <w:rPr>
          <w:rFonts w:ascii="Times New Roman" w:eastAsia="仿宋_GB2312" w:hAnsi="Times New Roman" w:cs="Times New Roman"/>
          <w:sz w:val="28"/>
        </w:rPr>
        <w:t>永清县自然资源和规划局京台高速两侧林地抚育管护项目绩效目标表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通过项目的实施，贯彻落实京冀合作造林项目，巩固京台高速两侧林地抚育成果，提升生态廊道景观效果。</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按照年度抚育计划对京台高速两侧林地进行抚育，抚育面积</w:t>
            </w:r>
            <w:r>
              <w:rPr>
                <w:rFonts w:ascii="Times New Roman" w:eastAsia="仿宋_GB2312" w:hAnsi="Times New Roman" w:cs="Times New Roman"/>
              </w:rPr>
              <w:t>8000</w:t>
            </w:r>
            <w:r>
              <w:rPr>
                <w:rFonts w:ascii="Times New Roman" w:eastAsia="仿宋_GB2312" w:hAnsi="Times New Roman" w:cs="Times New Roman"/>
              </w:rPr>
              <w:t>亩</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抚育林地面积</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反映对京台高速两侧林地抚育完成情况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8000</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抚育管护实施方案、管护项目协议书</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成果验收合格率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反映完成两侧林地抚育项目的合格率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依据年度工作计划、成果验收单</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提升京台高速的通行条件</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考察林木抚育对京台高速的提升情况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依据年度工作计划及问卷调查</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治理生态环境，提升廊道景观效果</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反映京台高速两侧林地抚育项目带来的景观效果。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依据年度工作计划、合同约定及问卷调查</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社会公众满意度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社会公众对项目实施效果的满意程度。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27.</w:t>
      </w:r>
      <w:r>
        <w:rPr>
          <w:rFonts w:ascii="Times New Roman" w:eastAsia="仿宋_GB2312" w:hAnsi="Times New Roman" w:cs="Times New Roman"/>
          <w:sz w:val="28"/>
        </w:rPr>
        <w:t>永清县自然资源和规划局廊沧高速绿化工程管护项目验收费绩效目标表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通过项目的实施，确保廊沧高速两侧抚育管护工程按时高质量完成。</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验收面积</w:t>
            </w:r>
            <w:r>
              <w:rPr>
                <w:rFonts w:ascii="Times New Roman" w:eastAsia="仿宋_GB2312" w:hAnsi="Times New Roman" w:cs="Times New Roman"/>
              </w:rPr>
              <w:t>5000</w:t>
            </w:r>
            <w:r>
              <w:rPr>
                <w:rFonts w:ascii="Times New Roman" w:eastAsia="仿宋_GB2312" w:hAnsi="Times New Roman" w:cs="Times New Roman"/>
              </w:rPr>
              <w:t>亩</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验收面积</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考察绿化工程管护项目验收完成情况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5000</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实施方案、合同约定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验收报告合格率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考察第三方验收报告是否按照相关规定进行编制</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验收报告</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保障绿化工程管护项目高质量完成</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考察廊沧高速绿化工程管护项目的验收成果。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依据年度工作计划、合同约定及问卷调查</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验收成果满意度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对项目实施效果的满意程度。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28.</w:t>
      </w:r>
      <w:r>
        <w:rPr>
          <w:rFonts w:ascii="Times New Roman" w:eastAsia="仿宋_GB2312" w:hAnsi="Times New Roman" w:cs="Times New Roman"/>
          <w:sz w:val="28"/>
        </w:rPr>
        <w:t>永清县城市客厅详细城市设计项目绩效目标表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科学编制城市客厅详细城市设计，高标准打造永清城市新客厅，以城市空间形态及整体环境景观为重点，梳理和建立各类开放空间、建筑群组、特色环境景观体系，形成具有良好空间尺度，体现风貌特色的高品质城市空间环境。</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建筑规模约</w:t>
            </w:r>
            <w:r>
              <w:rPr>
                <w:rFonts w:ascii="Times New Roman" w:eastAsia="仿宋_GB2312" w:hAnsi="Times New Roman" w:cs="Times New Roman"/>
              </w:rPr>
              <w:t>12</w:t>
            </w:r>
            <w:r>
              <w:rPr>
                <w:rFonts w:ascii="Times New Roman" w:eastAsia="仿宋_GB2312" w:hAnsi="Times New Roman" w:cs="Times New Roman"/>
              </w:rPr>
              <w:t>万平方米，主要包含完成市民服务中心、宣传文化中心、会议培训中心、城市广场及公园等。</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完成设计方案数量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反映永清县城市客厅详细城市设计方案的完成情况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设计方案完成及时率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提升城市空间环境</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反映永清县城市客厅详细城市设计方案在提升城市空间环境方面产生的效果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29.</w:t>
      </w:r>
      <w:r>
        <w:rPr>
          <w:rFonts w:ascii="Times New Roman" w:eastAsia="仿宋_GB2312" w:hAnsi="Times New Roman" w:cs="Times New Roman"/>
          <w:sz w:val="28"/>
        </w:rPr>
        <w:t>机关网络运行经费绩效目标表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w:t>
      </w:r>
      <w:r>
        <w:rPr>
          <w:rFonts w:ascii="Times New Roman" w:eastAsia="仿宋_GB2312" w:hAnsi="Times New Roman" w:cs="Times New Roman"/>
          <w:vanish/>
          <w:sz w:val="28"/>
        </w:rPr>
        <w:t>\f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保障网络系统安全。</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保障网络系统安全。保障软件和计算机安全，保障系统、数据库安全运行。</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网络线路数量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反映项目需维护的网络线路数量</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38</w:t>
            </w:r>
            <w:r>
              <w:rPr>
                <w:rFonts w:ascii="Times New Roman" w:eastAsia="仿宋_GB2312" w:hAnsi="Times New Roman" w:cs="Times New Roman"/>
              </w:rPr>
              <w:t>条</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工作计划，网络专线合作协议</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网络线路正常运行率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反映网络线路的正常运行情况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网络故障维护及时性</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反映网路故障的维护及时情况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及时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反映项目的成本控制情况，成本控制率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资金计划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保障日常工作正常运行</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反映对部门日常工作正常运行的保障作用</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使用人员满意度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反映使用人员的满意度情况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30.</w:t>
      </w:r>
      <w:r>
        <w:rPr>
          <w:rFonts w:ascii="Times New Roman" w:eastAsia="仿宋_GB2312" w:hAnsi="Times New Roman" w:cs="Times New Roman"/>
          <w:sz w:val="28"/>
        </w:rPr>
        <w:t>永清县自然资源和规划局廊沧高速两侧林地抚育管护项目绩效目标表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通过项目的实施，贯彻落实京冀合作造林项目，巩固廊沧高速两侧林地抚育成果，提升生态廊道景观效果。</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按照年度抚育计划对廊沧高速两侧林地进行抚育，抚育面积</w:t>
            </w:r>
            <w:r>
              <w:rPr>
                <w:rFonts w:ascii="Times New Roman" w:eastAsia="仿宋_GB2312" w:hAnsi="Times New Roman" w:cs="Times New Roman"/>
              </w:rPr>
              <w:t>5000</w:t>
            </w:r>
            <w:r>
              <w:rPr>
                <w:rFonts w:ascii="Times New Roman" w:eastAsia="仿宋_GB2312" w:hAnsi="Times New Roman" w:cs="Times New Roman"/>
              </w:rPr>
              <w:t>亩</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抚育林地面积</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反映对廊沧高速两侧林地抚育完成情况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5000</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抚育管护实施方案、管护项目协议书</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成果验收合格率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反映完成两侧林地抚育项目的合格率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依据年度工作计划、成果验收单</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考察项目是否按照要求如期完成（实际完成时间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 xml:space="preserve">*100% </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提升廊沧高速的通行条件</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考察林木抚育对廊沧高速的提升情况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依据年度工作计划及问卷调查</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治理生态环境，提升廊道景观效果</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反映廊沧高速两侧林地抚育项目带来的景观效果。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依据年度工作计划、合同约定及问卷调查</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社会公众满意度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社会公众对项目实施效果的满意程度。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调查问卷</w:t>
            </w:r>
          </w:p>
        </w:tc>
      </w:tr>
    </w:tbl>
    <w:p w:rsidR="00DB2C85" w:rsidRDefault="00DB2C85">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31.</w:t>
      </w:r>
      <w:r>
        <w:rPr>
          <w:rFonts w:ascii="Times New Roman" w:eastAsia="仿宋_GB2312" w:hAnsi="Times New Roman" w:cs="Times New Roman"/>
          <w:sz w:val="28"/>
        </w:rPr>
        <w:t>2021</w:t>
      </w:r>
      <w:r>
        <w:rPr>
          <w:rFonts w:ascii="Times New Roman" w:eastAsia="仿宋_GB2312" w:hAnsi="Times New Roman" w:cs="Times New Roman"/>
          <w:sz w:val="28"/>
        </w:rPr>
        <w:t>年度土地卫片执法检查经费绩效目标表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通过项目开展，核实卫片执法图斑，查处整改违法行为，依法依规约谈问责，进一步强化地方政府自然资源保护主体责任，维护自然资源开发利用保护秩序。</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完成永清县全区域国土面积、</w:t>
            </w:r>
            <w:r>
              <w:rPr>
                <w:rFonts w:ascii="Times New Roman" w:eastAsia="仿宋_GB2312" w:hAnsi="Times New Roman" w:cs="Times New Roman"/>
              </w:rPr>
              <w:t>365</w:t>
            </w:r>
            <w:r>
              <w:rPr>
                <w:rFonts w:ascii="Times New Roman" w:eastAsia="仿宋_GB2312" w:hAnsi="Times New Roman" w:cs="Times New Roman"/>
              </w:rPr>
              <w:t>个村庄占地卫片执法工作</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卫片执法范围</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w:t>
            </w:r>
            <w:r>
              <w:rPr>
                <w:rFonts w:ascii="Times New Roman" w:eastAsia="仿宋_GB2312" w:hAnsi="Times New Roman" w:cs="Times New Roman"/>
              </w:rPr>
              <w:t>2021</w:t>
            </w:r>
            <w:r>
              <w:rPr>
                <w:rFonts w:ascii="Times New Roman" w:eastAsia="仿宋_GB2312" w:hAnsi="Times New Roman" w:cs="Times New Roman"/>
              </w:rPr>
              <w:t>年度土地卫片执法检查范围</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全县域</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执法检查程序合规性</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反映土地卫片执法程序是否合规</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合规</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执法检查完成及时率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反映执法检查是否及时完成，（实际完成时间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违法行为惩处整改率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反映执法检查中发现的应惩处整改的违法行为均进行了惩处、整改情况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维护</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村民满意度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反映永清县村民满意度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32.</w:t>
      </w:r>
      <w:r>
        <w:rPr>
          <w:rFonts w:ascii="Times New Roman" w:eastAsia="仿宋_GB2312" w:hAnsi="Times New Roman" w:cs="Times New Roman"/>
          <w:sz w:val="28"/>
        </w:rPr>
        <w:t>永清县中心城区建筑风貌规划设计项目绩效目标表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开展城市设计建筑风貌设计，进一步明确城市总体定位和整体风格，按照不同的功能划分建筑风貌分区、提炼建筑风貌的控制要素，确定控制方法，对建筑体量、建筑风格、建筑形态、建筑材质、建筑色彩、建筑装饰等方面提出控制目标。</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通过组织开展中心城区建筑风貌设计，挖掘和传承具有永清县地域文化特色的建筑风貌，加强城市建筑风格的规划管理，有效指导今后建筑设计、规划审批、城市建设等工作，进一步提升永清县城市风貌和城市品质。</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完成规划设计方案数量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反映对城区建筑风貌规划设计方案的完成情况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套</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专家论证通过率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反映设计方案是否完整、可行、合理，能否通过专家论证</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设计方案完成及时率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反映规划设计方案是否及时完成，（实际完成时间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提升城市风貌和城市品质</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反映规划设计方案对永清县城市风貌和城市品质的提升情况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根据年度工作计划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反映设计方案的使用人员满意度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依据年度工作计划、合同约定及调查问卷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33.</w:t>
      </w:r>
      <w:r>
        <w:rPr>
          <w:rFonts w:ascii="Times New Roman" w:eastAsia="仿宋_GB2312" w:hAnsi="Times New Roman" w:cs="Times New Roman"/>
          <w:sz w:val="28"/>
        </w:rPr>
        <w:t>2009-2019</w:t>
      </w:r>
      <w:r>
        <w:rPr>
          <w:rFonts w:ascii="Times New Roman" w:eastAsia="仿宋_GB2312" w:hAnsi="Times New Roman" w:cs="Times New Roman"/>
          <w:sz w:val="28"/>
        </w:rPr>
        <w:t>年批而未供土地（划拨、出让）勘测项目绩效目标表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以专项行动为抓手，以制度建设为保障，有序推进批而未供和闲置土地盘活利用，促进土地资源高效配置，把节约集约用地贯穿土地利用管理全过程。</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提升土地开发利用综合效益，落实节约集约用地制度，有效解决我省在土地开发利用及监管方面存在的突出问题，推动土地利用和管理方式根本转变，促进生态文明建设和高质量发展</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勘测土地亩数</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考察勘测盘活土地的亩数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依据实际完成工作情况、合同</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勘测合格率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考察勘测土地的合格率情况，勘测合格率</w:t>
            </w:r>
            <w:r>
              <w:rPr>
                <w:rFonts w:ascii="Times New Roman" w:eastAsia="仿宋_GB2312" w:hAnsi="Times New Roman" w:cs="Times New Roman"/>
              </w:rPr>
              <w:t>=</w:t>
            </w:r>
            <w:r>
              <w:rPr>
                <w:rFonts w:ascii="Times New Roman" w:eastAsia="仿宋_GB2312" w:hAnsi="Times New Roman" w:cs="Times New Roman"/>
              </w:rPr>
              <w:t>（勘测合格亩数</w:t>
            </w:r>
            <w:r>
              <w:rPr>
                <w:rFonts w:ascii="Times New Roman" w:eastAsia="仿宋_GB2312" w:hAnsi="Times New Roman" w:cs="Times New Roman"/>
              </w:rPr>
              <w:t>/</w:t>
            </w:r>
            <w:r>
              <w:rPr>
                <w:rFonts w:ascii="Times New Roman" w:eastAsia="仿宋_GB2312" w:hAnsi="Times New Roman" w:cs="Times New Roman"/>
              </w:rPr>
              <w:t>勘测亩数）</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依据实际完成工作情况、勘测合同</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勘测完成及时率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考察工作完成及时情况，勘测完成及时率</w:t>
            </w:r>
            <w:r>
              <w:rPr>
                <w:rFonts w:ascii="Times New Roman" w:eastAsia="仿宋_GB2312" w:hAnsi="Times New Roman" w:cs="Times New Roman"/>
              </w:rPr>
              <w:t>=</w:t>
            </w:r>
            <w:r>
              <w:rPr>
                <w:rFonts w:ascii="Times New Roman" w:eastAsia="仿宋_GB2312" w:hAnsi="Times New Roman" w:cs="Times New Roman"/>
              </w:rPr>
              <w:t>（实际完成时间</w:t>
            </w:r>
            <w:r>
              <w:rPr>
                <w:rFonts w:ascii="Times New Roman" w:eastAsia="仿宋_GB2312" w:hAnsi="Times New Roman" w:cs="Times New Roman"/>
              </w:rPr>
              <w:t>/</w:t>
            </w:r>
            <w:r>
              <w:rPr>
                <w:rFonts w:ascii="Times New Roman" w:eastAsia="仿宋_GB2312" w:hAnsi="Times New Roman" w:cs="Times New Roman"/>
              </w:rPr>
              <w:t>计划完成时间）</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依据实际完成工作情况、勘测合同</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优化土地资源配置</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考核勘测闲置土地对社会发展带来的影响和效果</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优化</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反映服务对象对该项工作的满意程度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34.</w:t>
      </w:r>
      <w:r>
        <w:rPr>
          <w:rFonts w:ascii="Times New Roman" w:eastAsia="仿宋_GB2312" w:hAnsi="Times New Roman" w:cs="Times New Roman"/>
          <w:sz w:val="28"/>
        </w:rPr>
        <w:t>廊财建【</w:t>
      </w:r>
      <w:r>
        <w:rPr>
          <w:rFonts w:ascii="Times New Roman" w:eastAsia="仿宋_GB2312" w:hAnsi="Times New Roman" w:cs="Times New Roman"/>
          <w:sz w:val="28"/>
        </w:rPr>
        <w:t>2020</w:t>
      </w:r>
      <w:r>
        <w:rPr>
          <w:rFonts w:ascii="Times New Roman" w:eastAsia="仿宋_GB2312" w:hAnsi="Times New Roman" w:cs="Times New Roman"/>
          <w:sz w:val="28"/>
        </w:rPr>
        <w:t>】</w:t>
      </w:r>
      <w:r>
        <w:rPr>
          <w:rFonts w:ascii="Times New Roman" w:eastAsia="仿宋_GB2312" w:hAnsi="Times New Roman" w:cs="Times New Roman"/>
          <w:sz w:val="28"/>
        </w:rPr>
        <w:t>143</w:t>
      </w:r>
      <w:r>
        <w:rPr>
          <w:rFonts w:ascii="Times New Roman" w:eastAsia="仿宋_GB2312" w:hAnsi="Times New Roman" w:cs="Times New Roman"/>
          <w:sz w:val="28"/>
        </w:rPr>
        <w:t>号林业有害生物防治绩效目标表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通过项目的实施，提升林木存活率</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通过林业有害生物的防治，无公害防治率达到</w:t>
            </w:r>
            <w:r>
              <w:rPr>
                <w:rFonts w:ascii="Times New Roman" w:eastAsia="仿宋_GB2312" w:hAnsi="Times New Roman" w:cs="Times New Roman"/>
              </w:rPr>
              <w:t>85%</w:t>
            </w:r>
            <w:r>
              <w:rPr>
                <w:rFonts w:ascii="Times New Roman" w:eastAsia="仿宋_GB2312" w:hAnsi="Times New Roman" w:cs="Times New Roman"/>
              </w:rPr>
              <w:t>以上，叶片保存率达到</w:t>
            </w:r>
            <w:r>
              <w:rPr>
                <w:rFonts w:ascii="Times New Roman" w:eastAsia="仿宋_GB2312" w:hAnsi="Times New Roman" w:cs="Times New Roman"/>
              </w:rPr>
              <w:t>85%</w:t>
            </w:r>
            <w:r>
              <w:rPr>
                <w:rFonts w:ascii="Times New Roman" w:eastAsia="仿宋_GB2312" w:hAnsi="Times New Roman" w:cs="Times New Roman"/>
              </w:rPr>
              <w:t>以上。</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需购置农药数量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考察需购置的农药数量</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w:t>
            </w:r>
            <w:r>
              <w:rPr>
                <w:rFonts w:ascii="Times New Roman" w:eastAsia="仿宋_GB2312" w:hAnsi="Times New Roman" w:cs="Times New Roman"/>
              </w:rPr>
              <w:t>吨</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依据实际完成防治情况</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购置农药合格率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考察购置的农药的合格率情况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购置及时性</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考察农药购置的及时情况，及时率</w:t>
            </w:r>
            <w:r>
              <w:rPr>
                <w:rFonts w:ascii="Times New Roman" w:eastAsia="仿宋_GB2312" w:hAnsi="Times New Roman" w:cs="Times New Roman"/>
              </w:rPr>
              <w:t>=</w:t>
            </w:r>
            <w:r>
              <w:rPr>
                <w:rFonts w:ascii="Times New Roman" w:eastAsia="仿宋_GB2312" w:hAnsi="Times New Roman" w:cs="Times New Roman"/>
              </w:rPr>
              <w:t>（及时购置的数量</w:t>
            </w:r>
            <w:r>
              <w:rPr>
                <w:rFonts w:ascii="Times New Roman" w:eastAsia="仿宋_GB2312" w:hAnsi="Times New Roman" w:cs="Times New Roman"/>
              </w:rPr>
              <w:t>/</w:t>
            </w:r>
            <w:r>
              <w:rPr>
                <w:rFonts w:ascii="Times New Roman" w:eastAsia="仿宋_GB2312" w:hAnsi="Times New Roman" w:cs="Times New Roman"/>
              </w:rPr>
              <w:t>计划购置数量）</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经济效益指标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降低林业灾害损失</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考核项目是否能够降低林业灾害损失</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降低</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提升林木存活率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考核项目是否能够提升林木存活率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依据实际完成工作情况</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社会公众满意度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反映社会公众对该项工作的满意程度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根据工作计划及调查问卷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35.</w:t>
      </w:r>
      <w:r>
        <w:rPr>
          <w:rFonts w:ascii="Times New Roman" w:eastAsia="仿宋_GB2312" w:hAnsi="Times New Roman" w:cs="Times New Roman"/>
          <w:sz w:val="28"/>
        </w:rPr>
        <w:t>第三次全国土地调查耕地分等定级调查评价绩效目标表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完成县级分类调查评价任务，形成县级成果。从自然地理格局、地形条件、土壤条件、生态环境条件、作物熟制和耕地利用现状六个层面，构建分类指标体系，省、市、县三级协同，获取或补充调查耕地资源质量分类基础数据，以</w:t>
            </w:r>
            <w:r>
              <w:rPr>
                <w:rFonts w:ascii="Times New Roman" w:eastAsia="仿宋_GB2312" w:hAnsi="Times New Roman" w:cs="Times New Roman"/>
              </w:rPr>
              <w:t>“</w:t>
            </w:r>
            <w:r>
              <w:rPr>
                <w:rFonts w:ascii="Times New Roman" w:eastAsia="仿宋_GB2312" w:hAnsi="Times New Roman" w:cs="Times New Roman"/>
              </w:rPr>
              <w:t>三调</w:t>
            </w:r>
            <w:r>
              <w:rPr>
                <w:rFonts w:ascii="Times New Roman" w:eastAsia="仿宋_GB2312" w:hAnsi="Times New Roman" w:cs="Times New Roman"/>
              </w:rPr>
              <w:t>”</w:t>
            </w:r>
            <w:r>
              <w:rPr>
                <w:rFonts w:ascii="Times New Roman" w:eastAsia="仿宋_GB2312" w:hAnsi="Times New Roman" w:cs="Times New Roman"/>
              </w:rPr>
              <w:t>耕地图斑为分类单元，建立耕地资源质量分类数据库并进行分类统计，汇总形成不同耕地资源条件及其组合的耕地面积与分布成果，为耕地数量、质量、生态</w:t>
            </w:r>
            <w:r>
              <w:rPr>
                <w:rFonts w:ascii="Times New Roman" w:eastAsia="仿宋_GB2312" w:hAnsi="Times New Roman" w:cs="Times New Roman"/>
              </w:rPr>
              <w:t>“</w:t>
            </w:r>
            <w:r>
              <w:rPr>
                <w:rFonts w:ascii="Times New Roman" w:eastAsia="仿宋_GB2312" w:hAnsi="Times New Roman" w:cs="Times New Roman"/>
              </w:rPr>
              <w:t>三位一体</w:t>
            </w:r>
            <w:r>
              <w:rPr>
                <w:rFonts w:ascii="Times New Roman" w:eastAsia="仿宋_GB2312" w:hAnsi="Times New Roman" w:cs="Times New Roman"/>
              </w:rPr>
              <w:t>”</w:t>
            </w:r>
            <w:r>
              <w:rPr>
                <w:rFonts w:ascii="Times New Roman" w:eastAsia="仿宋_GB2312" w:hAnsi="Times New Roman" w:cs="Times New Roman"/>
              </w:rPr>
              <w:t>保护与管理提供支撑。</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 xml:space="preserve">2.2021 </w:t>
            </w:r>
            <w:r>
              <w:rPr>
                <w:rFonts w:ascii="Times New Roman" w:eastAsia="仿宋_GB2312" w:hAnsi="Times New Roman" w:cs="Times New Roman"/>
              </w:rPr>
              <w:t>年</w:t>
            </w:r>
            <w:r>
              <w:rPr>
                <w:rFonts w:ascii="Times New Roman" w:eastAsia="仿宋_GB2312" w:hAnsi="Times New Roman" w:cs="Times New Roman"/>
              </w:rPr>
              <w:t>6</w:t>
            </w:r>
            <w:r>
              <w:rPr>
                <w:rFonts w:ascii="Times New Roman" w:eastAsia="仿宋_GB2312" w:hAnsi="Times New Roman" w:cs="Times New Roman"/>
              </w:rPr>
              <w:t>月底完成完成永清县县级任务，根据省级自然资源主管部门要求时间节点完成验收工作。</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w:t>
            </w:r>
            <w:r>
              <w:rPr>
                <w:rFonts w:ascii="Times New Roman" w:eastAsia="仿宋_GB2312" w:hAnsi="Times New Roman" w:cs="Times New Roman"/>
                <w:b/>
              </w:rPr>
              <w:t>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新建数据库数量</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反映需新建的数据库数量，需新建永清县耕地质量分类数据库。</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个</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数据库质量合格率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通过河北省自然资源厅审核并备案</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工作完成及时性</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反映各项工作完成的及时性情况，按规定时间节点保质保量完成成果提交</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及时</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反映项目的成本控制情况，成本控制率</w:t>
            </w:r>
            <w:r>
              <w:rPr>
                <w:rFonts w:ascii="Times New Roman" w:eastAsia="仿宋_GB2312" w:hAnsi="Times New Roman" w:cs="Times New Roman"/>
              </w:rPr>
              <w:t>=</w:t>
            </w:r>
            <w:r>
              <w:rPr>
                <w:rFonts w:ascii="Times New Roman" w:eastAsia="仿宋_GB2312" w:hAnsi="Times New Roman" w:cs="Times New Roman"/>
              </w:rPr>
              <w:t>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资金计划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提高对耕地的监管水平</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反映对永清县耕地监管的提升作用</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提高</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使用人员满意度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反映使用人员的满意度情况</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工作计划，调查问卷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ind w:firstLineChars="200" w:firstLine="560"/>
        <w:jc w:val="left"/>
        <w:outlineLvl w:val="1"/>
        <w:rPr>
          <w:rFonts w:ascii="Times New Roman" w:eastAsia="仿宋_GB2312" w:hAnsi="Times New Roman" w:cs="Times New Roman"/>
          <w:sz w:val="28"/>
        </w:rPr>
      </w:pPr>
    </w:p>
    <w:p w:rsidR="00DB2C85" w:rsidRDefault="00161D21">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36.</w:t>
      </w:r>
      <w:r>
        <w:rPr>
          <w:rFonts w:ascii="Times New Roman" w:eastAsia="仿宋_GB2312" w:hAnsi="Times New Roman" w:cs="Times New Roman"/>
          <w:sz w:val="28"/>
        </w:rPr>
        <w:t>2021</w:t>
      </w:r>
      <w:r>
        <w:rPr>
          <w:rFonts w:ascii="Times New Roman" w:eastAsia="仿宋_GB2312" w:hAnsi="Times New Roman" w:cs="Times New Roman"/>
          <w:sz w:val="28"/>
        </w:rPr>
        <w:t>年造林补贴绩效目标表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B2C85" w:rsidRDefault="00DB2C8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49"/>
        <w:gridCol w:w="2010"/>
        <w:gridCol w:w="2745"/>
        <w:gridCol w:w="3460"/>
        <w:gridCol w:w="1843"/>
        <w:gridCol w:w="2155"/>
      </w:tblGrid>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213" w:type="dxa"/>
            <w:gridSpan w:val="5"/>
            <w:shd w:val="clear" w:color="auto" w:fill="auto"/>
            <w:vAlign w:val="center"/>
          </w:tcPr>
          <w:p w:rsidR="00DB2C85" w:rsidRDefault="00161D21">
            <w:pPr>
              <w:spacing w:line="300" w:lineRule="exact"/>
              <w:jc w:val="left"/>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通过项目的开展，全面提高永清绿化水平，全面提升永清对外形象，为建设经济强县打造最美、最绿的生态环境</w:t>
            </w:r>
          </w:p>
          <w:p w:rsidR="00DB2C85" w:rsidRDefault="00161D21">
            <w:pPr>
              <w:spacing w:line="300" w:lineRule="exact"/>
              <w:jc w:val="left"/>
              <w:rPr>
                <w:rFonts w:ascii="Times New Roman" w:eastAsia="仿宋_GB2312" w:hAnsi="Times New Roman" w:cs="Times New Roman"/>
                <w:b/>
              </w:rPr>
            </w:pPr>
            <w:r>
              <w:rPr>
                <w:rFonts w:ascii="Times New Roman" w:eastAsia="仿宋_GB2312" w:hAnsi="Times New Roman" w:cs="Times New Roman"/>
              </w:rPr>
              <w:t>2.</w:t>
            </w:r>
            <w:r>
              <w:rPr>
                <w:rFonts w:ascii="Times New Roman" w:eastAsia="仿宋_GB2312" w:hAnsi="Times New Roman" w:cs="Times New Roman"/>
              </w:rPr>
              <w:t>造林面积</w:t>
            </w:r>
            <w:r>
              <w:rPr>
                <w:rFonts w:ascii="Times New Roman" w:eastAsia="仿宋_GB2312" w:hAnsi="Times New Roman" w:cs="Times New Roman"/>
              </w:rPr>
              <w:t>12739.61</w:t>
            </w:r>
            <w:r>
              <w:rPr>
                <w:rFonts w:ascii="Times New Roman" w:eastAsia="仿宋_GB2312" w:hAnsi="Times New Roman" w:cs="Times New Roman"/>
              </w:rPr>
              <w:t>亩</w:t>
            </w:r>
          </w:p>
        </w:tc>
      </w:tr>
      <w:tr w:rsidR="00DB2C85">
        <w:trPr>
          <w:cantSplit/>
          <w:trHeight w:val="397"/>
          <w:tblHeader/>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数量指标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造林面积亩数</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考察永清造林面积的亩数</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12739.61</w:t>
            </w:r>
            <w:r>
              <w:rPr>
                <w:rFonts w:ascii="Times New Roman" w:eastAsia="仿宋_GB2312" w:hAnsi="Times New Roman" w:cs="Times New Roman"/>
              </w:rPr>
              <w:t>亩</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永政办【</w:t>
            </w:r>
            <w:r>
              <w:rPr>
                <w:rFonts w:ascii="Times New Roman" w:eastAsia="仿宋_GB2312" w:hAnsi="Times New Roman" w:cs="Times New Roman"/>
              </w:rPr>
              <w:t>2015</w:t>
            </w:r>
            <w:r>
              <w:rPr>
                <w:rFonts w:ascii="Times New Roman" w:eastAsia="仿宋_GB2312" w:hAnsi="Times New Roman" w:cs="Times New Roman"/>
              </w:rPr>
              <w:t>】</w:t>
            </w:r>
            <w:r>
              <w:rPr>
                <w:rFonts w:ascii="Times New Roman" w:eastAsia="仿宋_GB2312" w:hAnsi="Times New Roman" w:cs="Times New Roman"/>
              </w:rPr>
              <w:t>7</w:t>
            </w:r>
            <w:r>
              <w:rPr>
                <w:rFonts w:ascii="Times New Roman" w:eastAsia="仿宋_GB2312" w:hAnsi="Times New Roman" w:cs="Times New Roman"/>
              </w:rPr>
              <w:t>号、永政办【</w:t>
            </w:r>
            <w:r>
              <w:rPr>
                <w:rFonts w:ascii="Times New Roman" w:eastAsia="仿宋_GB2312" w:hAnsi="Times New Roman" w:cs="Times New Roman"/>
              </w:rPr>
              <w:t>2018</w:t>
            </w:r>
            <w:r>
              <w:rPr>
                <w:rFonts w:ascii="Times New Roman" w:eastAsia="仿宋_GB2312" w:hAnsi="Times New Roman" w:cs="Times New Roman"/>
              </w:rPr>
              <w:t>】</w:t>
            </w:r>
            <w:r>
              <w:rPr>
                <w:rFonts w:ascii="Times New Roman" w:eastAsia="仿宋_GB2312" w:hAnsi="Times New Roman" w:cs="Times New Roman"/>
              </w:rPr>
              <w:t>36</w:t>
            </w:r>
            <w:r>
              <w:rPr>
                <w:rFonts w:ascii="Times New Roman" w:eastAsia="仿宋_GB2312" w:hAnsi="Times New Roman" w:cs="Times New Roman"/>
              </w:rPr>
              <w:t>号、永政办【</w:t>
            </w:r>
            <w:r>
              <w:rPr>
                <w:rFonts w:ascii="Times New Roman" w:eastAsia="仿宋_GB2312" w:hAnsi="Times New Roman" w:cs="Times New Roman"/>
              </w:rPr>
              <w:t>2019</w:t>
            </w:r>
            <w:r>
              <w:rPr>
                <w:rFonts w:ascii="Times New Roman" w:eastAsia="仿宋_GB2312" w:hAnsi="Times New Roman" w:cs="Times New Roman"/>
              </w:rPr>
              <w:t>】</w:t>
            </w:r>
            <w:r>
              <w:rPr>
                <w:rFonts w:ascii="Times New Roman" w:eastAsia="仿宋_GB2312" w:hAnsi="Times New Roman" w:cs="Times New Roman"/>
              </w:rPr>
              <w:t>16</w:t>
            </w:r>
            <w:r>
              <w:rPr>
                <w:rFonts w:ascii="Times New Roman" w:eastAsia="仿宋_GB2312" w:hAnsi="Times New Roman" w:cs="Times New Roman"/>
              </w:rPr>
              <w:t>号及《永清县京雄高铁廊道绿化工作方案》</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质量指标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林木面积存活率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考察造林的面积存活率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≥85%</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第三方的验收报告</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时效指标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完成及时率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考察项目验收完成的及时率</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合同以及实际工作完成情况</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成本控制率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考察项目成本控制情况（实际成本</w:t>
            </w:r>
            <w:r>
              <w:rPr>
                <w:rFonts w:ascii="Times New Roman" w:eastAsia="仿宋_GB2312" w:hAnsi="Times New Roman" w:cs="Times New Roman"/>
              </w:rPr>
              <w:t>/</w:t>
            </w:r>
            <w:r>
              <w:rPr>
                <w:rFonts w:ascii="Times New Roman" w:eastAsia="仿宋_GB2312" w:hAnsi="Times New Roman" w:cs="Times New Roman"/>
              </w:rPr>
              <w:t>计划成本</w:t>
            </w:r>
            <w:r>
              <w:rPr>
                <w:rFonts w:ascii="Times New Roman" w:eastAsia="仿宋_GB2312" w:hAnsi="Times New Roman" w:cs="Times New Roman"/>
              </w:rPr>
              <w:t>*100%</w:t>
            </w:r>
            <w:r>
              <w:rPr>
                <w:rFonts w:ascii="Times New Roman" w:eastAsia="仿宋_GB2312" w:hAnsi="Times New Roman" w:cs="Times New Roman"/>
              </w:rPr>
              <w:t>）</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≤100%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依据年度资金支出计划</w:t>
            </w:r>
          </w:p>
        </w:tc>
      </w:tr>
      <w:tr w:rsidR="00DB2C85">
        <w:trPr>
          <w:cantSplit/>
          <w:trHeight w:val="369"/>
          <w:jc w:val="center"/>
        </w:trPr>
        <w:tc>
          <w:tcPr>
            <w:tcW w:w="1849" w:type="dxa"/>
            <w:vMerge w:val="restart"/>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社会效益指标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保障造林项目的实施</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项目的开展对永清造林绿化的保障实施</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保障</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依据验收报告及调查问卷</w:t>
            </w:r>
          </w:p>
        </w:tc>
      </w:tr>
      <w:tr w:rsidR="00DB2C85">
        <w:trPr>
          <w:cantSplit/>
          <w:trHeight w:val="369"/>
          <w:jc w:val="center"/>
        </w:trPr>
        <w:tc>
          <w:tcPr>
            <w:tcW w:w="1849" w:type="dxa"/>
            <w:vMerge/>
            <w:shd w:val="clear" w:color="auto" w:fill="auto"/>
            <w:vAlign w:val="center"/>
          </w:tcPr>
          <w:p w:rsidR="00DB2C85" w:rsidRDefault="00DB2C85"/>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生态效益指标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生态环境提升</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考察永清生态环境的提升承程度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提升</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r w:rsidR="00DB2C85">
        <w:trPr>
          <w:cantSplit/>
          <w:trHeight w:val="369"/>
          <w:jc w:val="center"/>
        </w:trPr>
        <w:tc>
          <w:tcPr>
            <w:tcW w:w="1849"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01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服务对象满意度指标</w:t>
            </w:r>
          </w:p>
        </w:tc>
        <w:tc>
          <w:tcPr>
            <w:tcW w:w="274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群众满意度</w:t>
            </w:r>
          </w:p>
        </w:tc>
        <w:tc>
          <w:tcPr>
            <w:tcW w:w="3460"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考察群众对该项工作的满意程度</w:t>
            </w:r>
          </w:p>
        </w:tc>
        <w:tc>
          <w:tcPr>
            <w:tcW w:w="1843"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≥90%</w:t>
            </w:r>
          </w:p>
        </w:tc>
        <w:tc>
          <w:tcPr>
            <w:tcW w:w="2155" w:type="dxa"/>
            <w:shd w:val="clear" w:color="auto" w:fill="auto"/>
            <w:vAlign w:val="center"/>
          </w:tcPr>
          <w:p w:rsidR="00DB2C85" w:rsidRDefault="00161D21">
            <w:pPr>
              <w:spacing w:line="300" w:lineRule="exact"/>
              <w:jc w:val="center"/>
              <w:rPr>
                <w:rFonts w:ascii="Times New Roman" w:eastAsia="仿宋_GB2312" w:hAnsi="Times New Roman" w:cs="Times New Roman"/>
              </w:rPr>
            </w:pPr>
            <w:r>
              <w:rPr>
                <w:rFonts w:ascii="Times New Roman" w:eastAsia="仿宋_GB2312" w:hAnsi="Times New Roman" w:cs="Times New Roman"/>
              </w:rPr>
              <w:t>依据年度工作计划及调查问卷</w:t>
            </w:r>
          </w:p>
        </w:tc>
      </w:tr>
    </w:tbl>
    <w:p w:rsidR="00DB2C85" w:rsidRDefault="00DB2C85">
      <w:pPr>
        <w:ind w:firstLineChars="200" w:firstLine="560"/>
        <w:jc w:val="left"/>
        <w:outlineLvl w:val="1"/>
        <w:rPr>
          <w:rFonts w:ascii="Times New Roman" w:eastAsia="仿宋_GB2312" w:hAnsi="Times New Roman" w:cs="Times New Roman"/>
          <w:sz w:val="28"/>
        </w:rPr>
      </w:pPr>
    </w:p>
    <w:p w:rsidR="00DB2C85" w:rsidRDefault="00DB2C85">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DB2C85" w:rsidRDefault="00DB2C85">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DB2C85" w:rsidRDefault="00DB2C85">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rsidR="00DB2C85" w:rsidRDefault="00161D2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p>
    <w:p w:rsidR="00DB2C85" w:rsidRDefault="00161D21">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bookmarkEnd w:id="1"/>
    <w:p w:rsidR="00DB2C85" w:rsidRDefault="00DB2C85">
      <w:pPr>
        <w:spacing w:line="584" w:lineRule="exact"/>
        <w:jc w:val="left"/>
        <w:outlineLvl w:val="0"/>
        <w:rPr>
          <w:rFonts w:ascii="Times New Roman" w:eastAsia="仿宋_GB2312" w:hAnsi="Times New Roman" w:cs="Times New Roman"/>
        </w:rPr>
      </w:pPr>
    </w:p>
    <w:p w:rsidR="00DB2C85" w:rsidRDefault="00161D21">
      <w:pPr>
        <w:jc w:val="center"/>
        <w:outlineLvl w:val="1"/>
        <w:rPr>
          <w:rFonts w:ascii="Times New Roman" w:hAnsi="Times New Roman" w:cs="Times New Roman"/>
          <w:sz w:val="32"/>
        </w:rPr>
      </w:pPr>
      <w:bookmarkStart w:id="2" w:name="_Toc64920910"/>
      <w:r>
        <w:rPr>
          <w:rFonts w:ascii="方正小标宋_GBK" w:eastAsia="方正小标宋_GBK" w:cs="Times New Roman" w:hint="eastAsia"/>
          <w:sz w:val="32"/>
        </w:rPr>
        <w:t>部门政府采购预算</w:t>
      </w:r>
      <w:bookmarkEnd w:id="2"/>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DB2C85">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DB2C85" w:rsidRDefault="00161D21">
            <w:pPr>
              <w:spacing w:line="300" w:lineRule="exact"/>
              <w:jc w:val="left"/>
              <w:rPr>
                <w:rFonts w:ascii="方正小标宋_GBK" w:eastAsia="方正小标宋_GBK" w:cs="Times New Roman"/>
                <w:sz w:val="24"/>
              </w:rPr>
            </w:pPr>
            <w:r>
              <w:rPr>
                <w:rFonts w:ascii="方正小标宋_GBK" w:eastAsia="方正小标宋_GBK" w:cs="Times New Roman"/>
                <w:sz w:val="24"/>
              </w:rPr>
              <w:t>永清县</w:t>
            </w:r>
            <w:r>
              <w:rPr>
                <w:rFonts w:ascii="方正小标宋_GBK" w:eastAsia="方正小标宋_GBK" w:hint="eastAsia"/>
                <w:sz w:val="24"/>
              </w:rPr>
              <w:t>自然资源和规划局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DB2C85" w:rsidRDefault="00161D21">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DB2C85">
        <w:trPr>
          <w:cantSplit/>
          <w:tblHeader/>
          <w:jc w:val="center"/>
        </w:trPr>
        <w:tc>
          <w:tcPr>
            <w:tcW w:w="3118" w:type="dxa"/>
            <w:gridSpan w:val="2"/>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计量</w:t>
            </w:r>
            <w:r>
              <w:rPr>
                <w:rFonts w:ascii="方正书宋_GBK" w:eastAsia="方正书宋_GBK" w:cs="Times New Roman"/>
                <w:b/>
              </w:rPr>
              <w:t xml:space="preserve">  </w:t>
            </w:r>
            <w:r>
              <w:rPr>
                <w:rFonts w:ascii="方正书宋_GBK" w:eastAsia="方正书宋_GBK" w:cs="Times New Roman"/>
                <w:b/>
              </w:rPr>
              <w:t>单位</w:t>
            </w:r>
          </w:p>
        </w:tc>
        <w:tc>
          <w:tcPr>
            <w:tcW w:w="907" w:type="dxa"/>
            <w:vMerge w:val="restart"/>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DB2C85">
        <w:trPr>
          <w:cantSplit/>
          <w:tblHeader/>
          <w:jc w:val="center"/>
        </w:trPr>
        <w:tc>
          <w:tcPr>
            <w:tcW w:w="198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rsidR="00DB2C85" w:rsidRDefault="00DB2C85"/>
        </w:tc>
        <w:tc>
          <w:tcPr>
            <w:tcW w:w="1531" w:type="dxa"/>
            <w:vMerge/>
            <w:shd w:val="clear" w:color="auto" w:fill="auto"/>
            <w:vAlign w:val="center"/>
          </w:tcPr>
          <w:p w:rsidR="00DB2C85" w:rsidRDefault="00DB2C85"/>
        </w:tc>
        <w:tc>
          <w:tcPr>
            <w:tcW w:w="709" w:type="dxa"/>
            <w:vMerge/>
            <w:shd w:val="clear" w:color="auto" w:fill="auto"/>
            <w:vAlign w:val="center"/>
          </w:tcPr>
          <w:p w:rsidR="00DB2C85" w:rsidRDefault="00DB2C85"/>
        </w:tc>
        <w:tc>
          <w:tcPr>
            <w:tcW w:w="907" w:type="dxa"/>
            <w:vMerge/>
            <w:shd w:val="clear" w:color="auto" w:fill="auto"/>
            <w:vAlign w:val="center"/>
          </w:tcPr>
          <w:p w:rsidR="00DB2C85" w:rsidRDefault="00DB2C85"/>
        </w:tc>
        <w:tc>
          <w:tcPr>
            <w:tcW w:w="907" w:type="dxa"/>
            <w:vMerge/>
            <w:shd w:val="clear" w:color="auto" w:fill="auto"/>
            <w:vAlign w:val="center"/>
          </w:tcPr>
          <w:p w:rsidR="00DB2C85" w:rsidRDefault="00DB2C85"/>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DB2C85">
        <w:trPr>
          <w:cantSplit/>
          <w:trHeight w:val="480"/>
          <w:jc w:val="center"/>
        </w:trPr>
        <w:tc>
          <w:tcPr>
            <w:tcW w:w="1984" w:type="dxa"/>
            <w:shd w:val="clear" w:color="auto" w:fill="auto"/>
            <w:vAlign w:val="center"/>
          </w:tcPr>
          <w:p w:rsidR="00DB2C85" w:rsidRDefault="00161D21">
            <w:pPr>
              <w:spacing w:line="300" w:lineRule="exact"/>
              <w:jc w:val="center"/>
              <w:rPr>
                <w:rFonts w:ascii="方正书宋_GBK" w:eastAsia="方正书宋_GBK" w:cs="Times New Roman"/>
                <w:b/>
              </w:rPr>
            </w:pPr>
            <w:r>
              <w:rPr>
                <w:rFonts w:ascii="方正书宋_GBK" w:eastAsia="方正书宋_GBK" w:cs="Times New Roman"/>
                <w:b/>
              </w:rPr>
              <w:t>合</w:t>
            </w:r>
            <w:r>
              <w:rPr>
                <w:rFonts w:ascii="方正书宋_GBK" w:eastAsia="方正书宋_GBK" w:cs="Times New Roman"/>
                <w:b/>
              </w:rPr>
              <w:t xml:space="preserve">  </w:t>
            </w:r>
            <w:r>
              <w:rPr>
                <w:rFonts w:ascii="方正书宋_GBK" w:eastAsia="方正书宋_GBK" w:cs="Times New Roman"/>
                <w:b/>
              </w:rPr>
              <w:t>计</w:t>
            </w: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b/>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b/>
              </w:rPr>
            </w:pPr>
          </w:p>
        </w:tc>
        <w:tc>
          <w:tcPr>
            <w:tcW w:w="709" w:type="dxa"/>
            <w:shd w:val="clear" w:color="auto" w:fill="auto"/>
            <w:vAlign w:val="center"/>
          </w:tcPr>
          <w:p w:rsidR="00DB2C85" w:rsidRDefault="00DB2C85">
            <w:pPr>
              <w:spacing w:line="300" w:lineRule="exact"/>
              <w:jc w:val="center"/>
              <w:rPr>
                <w:rFonts w:ascii="方正书宋_GBK" w:eastAsia="方正书宋_GBK" w:cs="Times New Roman"/>
                <w:b/>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r>
      <w:tr w:rsidR="00DB2C85">
        <w:trPr>
          <w:cantSplit/>
          <w:trHeight w:val="90"/>
          <w:jc w:val="center"/>
        </w:trPr>
        <w:tc>
          <w:tcPr>
            <w:tcW w:w="1984" w:type="dxa"/>
            <w:shd w:val="clear" w:color="auto" w:fill="auto"/>
            <w:vAlign w:val="center"/>
          </w:tcPr>
          <w:p w:rsidR="00DB2C85" w:rsidRDefault="00DB2C85">
            <w:pPr>
              <w:spacing w:line="300" w:lineRule="exact"/>
              <w:jc w:val="center"/>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b/>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b/>
              </w:rPr>
            </w:pPr>
          </w:p>
        </w:tc>
        <w:tc>
          <w:tcPr>
            <w:tcW w:w="709" w:type="dxa"/>
            <w:shd w:val="clear" w:color="auto" w:fill="auto"/>
            <w:vAlign w:val="center"/>
          </w:tcPr>
          <w:p w:rsidR="00DB2C85" w:rsidRDefault="00DB2C85">
            <w:pPr>
              <w:spacing w:line="300" w:lineRule="exact"/>
              <w:jc w:val="center"/>
              <w:rPr>
                <w:rFonts w:ascii="方正书宋_GBK" w:eastAsia="方正书宋_GBK" w:cs="Times New Roman"/>
                <w:b/>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b/>
              </w:rPr>
            </w:pPr>
          </w:p>
        </w:tc>
      </w:tr>
      <w:tr w:rsidR="00DB2C85">
        <w:trPr>
          <w:cantSplit/>
          <w:jc w:val="center"/>
        </w:trPr>
        <w:tc>
          <w:tcPr>
            <w:tcW w:w="1984" w:type="dxa"/>
            <w:shd w:val="clear" w:color="auto" w:fill="auto"/>
            <w:vAlign w:val="center"/>
          </w:tcPr>
          <w:p w:rsidR="00DB2C85" w:rsidRDefault="00DB2C85">
            <w:pPr>
              <w:spacing w:line="300" w:lineRule="exact"/>
              <w:jc w:val="lef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709" w:type="dxa"/>
            <w:shd w:val="clear" w:color="auto" w:fill="auto"/>
            <w:vAlign w:val="center"/>
          </w:tcPr>
          <w:p w:rsidR="00DB2C85" w:rsidRDefault="00DB2C85">
            <w:pPr>
              <w:spacing w:line="300" w:lineRule="exact"/>
              <w:jc w:val="center"/>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r>
      <w:tr w:rsidR="00DB2C85">
        <w:trPr>
          <w:cantSplit/>
          <w:jc w:val="center"/>
        </w:trPr>
        <w:tc>
          <w:tcPr>
            <w:tcW w:w="1984" w:type="dxa"/>
            <w:shd w:val="clear" w:color="auto" w:fill="auto"/>
            <w:vAlign w:val="center"/>
          </w:tcPr>
          <w:p w:rsidR="00DB2C85" w:rsidRDefault="00DB2C85">
            <w:pPr>
              <w:spacing w:line="300" w:lineRule="exact"/>
              <w:jc w:val="lef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709" w:type="dxa"/>
            <w:shd w:val="clear" w:color="auto" w:fill="auto"/>
            <w:vAlign w:val="center"/>
          </w:tcPr>
          <w:p w:rsidR="00DB2C85" w:rsidRDefault="00DB2C85">
            <w:pPr>
              <w:spacing w:line="300" w:lineRule="exact"/>
              <w:jc w:val="center"/>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r>
      <w:tr w:rsidR="00DB2C85">
        <w:trPr>
          <w:cantSplit/>
          <w:jc w:val="center"/>
        </w:trPr>
        <w:tc>
          <w:tcPr>
            <w:tcW w:w="1984" w:type="dxa"/>
            <w:shd w:val="clear" w:color="auto" w:fill="auto"/>
            <w:vAlign w:val="center"/>
          </w:tcPr>
          <w:p w:rsidR="00DB2C85" w:rsidRDefault="00DB2C85">
            <w:pPr>
              <w:spacing w:line="300" w:lineRule="exact"/>
              <w:jc w:val="lef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709" w:type="dxa"/>
            <w:shd w:val="clear" w:color="auto" w:fill="auto"/>
            <w:vAlign w:val="center"/>
          </w:tcPr>
          <w:p w:rsidR="00DB2C85" w:rsidRDefault="00DB2C85">
            <w:pPr>
              <w:spacing w:line="300" w:lineRule="exact"/>
              <w:jc w:val="center"/>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r>
      <w:tr w:rsidR="00DB2C85">
        <w:trPr>
          <w:cantSplit/>
          <w:jc w:val="center"/>
        </w:trPr>
        <w:tc>
          <w:tcPr>
            <w:tcW w:w="1984" w:type="dxa"/>
            <w:shd w:val="clear" w:color="auto" w:fill="auto"/>
            <w:vAlign w:val="center"/>
          </w:tcPr>
          <w:p w:rsidR="00DB2C85" w:rsidRDefault="00DB2C85">
            <w:pPr>
              <w:spacing w:line="300" w:lineRule="exact"/>
              <w:jc w:val="left"/>
              <w:rPr>
                <w:rFonts w:ascii="方正书宋_GBK" w:eastAsia="方正书宋_GBK"/>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531" w:type="dxa"/>
            <w:shd w:val="clear" w:color="auto" w:fill="auto"/>
            <w:vAlign w:val="center"/>
          </w:tcPr>
          <w:p w:rsidR="00DB2C85" w:rsidRDefault="00DB2C85">
            <w:pPr>
              <w:spacing w:line="300" w:lineRule="exact"/>
              <w:jc w:val="left"/>
              <w:rPr>
                <w:rFonts w:ascii="方正书宋_GBK" w:eastAsia="方正书宋_GBK"/>
              </w:rPr>
            </w:pPr>
          </w:p>
        </w:tc>
        <w:tc>
          <w:tcPr>
            <w:tcW w:w="1531" w:type="dxa"/>
            <w:shd w:val="clear" w:color="auto" w:fill="auto"/>
            <w:vAlign w:val="center"/>
          </w:tcPr>
          <w:p w:rsidR="00DB2C85" w:rsidRDefault="00DB2C85">
            <w:pPr>
              <w:spacing w:line="300" w:lineRule="exact"/>
              <w:jc w:val="left"/>
              <w:rPr>
                <w:rFonts w:ascii="方正书宋_GBK" w:eastAsia="方正书宋_GBK" w:cs="Times New Roman"/>
              </w:rPr>
            </w:pPr>
          </w:p>
        </w:tc>
        <w:tc>
          <w:tcPr>
            <w:tcW w:w="709" w:type="dxa"/>
            <w:shd w:val="clear" w:color="auto" w:fill="auto"/>
            <w:vAlign w:val="center"/>
          </w:tcPr>
          <w:p w:rsidR="00DB2C85" w:rsidRDefault="00DB2C85">
            <w:pPr>
              <w:spacing w:line="300" w:lineRule="exact"/>
              <w:jc w:val="center"/>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907"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center"/>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c>
          <w:tcPr>
            <w:tcW w:w="1134" w:type="dxa"/>
            <w:shd w:val="clear" w:color="auto" w:fill="auto"/>
            <w:vAlign w:val="center"/>
          </w:tcPr>
          <w:p w:rsidR="00DB2C85" w:rsidRDefault="00DB2C85">
            <w:pPr>
              <w:spacing w:line="300" w:lineRule="exact"/>
              <w:jc w:val="right"/>
              <w:rPr>
                <w:rFonts w:ascii="方正书宋_GBK" w:eastAsia="方正书宋_GBK" w:cs="Times New Roman"/>
              </w:rPr>
            </w:pPr>
          </w:p>
        </w:tc>
      </w:tr>
    </w:tbl>
    <w:p w:rsidR="00DB2C85" w:rsidRDefault="00DB2C85">
      <w:pPr>
        <w:spacing w:line="584" w:lineRule="exact"/>
        <w:jc w:val="left"/>
        <w:outlineLvl w:val="0"/>
        <w:rPr>
          <w:rFonts w:ascii="Times New Roman" w:eastAsia="仿宋_GB2312" w:hAnsi="Times New Roman" w:cs="Times New Roman"/>
        </w:rPr>
        <w:sectPr w:rsidR="00DB2C85">
          <w:footerReference w:type="default" r:id="rId6"/>
          <w:pgSz w:w="16839" w:h="11907" w:orient="landscape"/>
          <w:pgMar w:top="1361" w:right="1020" w:bottom="1361" w:left="1020" w:header="851" w:footer="992" w:gutter="0"/>
          <w:cols w:space="720"/>
          <w:docGrid w:type="lines" w:linePitch="312"/>
        </w:sectPr>
      </w:pPr>
    </w:p>
    <w:p w:rsidR="00DB2C85" w:rsidRDefault="00161D2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DB2C85" w:rsidRDefault="00161D2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自然资源和规划局</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1378.65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，本年度我部门拟购置固定资产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DB2C85" w:rsidRDefault="00DB2C85">
      <w:pPr>
        <w:spacing w:line="584" w:lineRule="exact"/>
        <w:ind w:firstLine="640"/>
        <w:rPr>
          <w:rFonts w:ascii="Times New Roman" w:eastAsia="仿宋_GB2312" w:hAnsi="Times New Roman" w:cs="Times New Roman"/>
          <w:sz w:val="32"/>
          <w:szCs w:val="32"/>
        </w:rPr>
      </w:pPr>
    </w:p>
    <w:tbl>
      <w:tblPr>
        <w:tblW w:w="13325" w:type="dxa"/>
        <w:tblInd w:w="93" w:type="dxa"/>
        <w:tblLook w:val="0000"/>
      </w:tblPr>
      <w:tblGrid>
        <w:gridCol w:w="5224"/>
        <w:gridCol w:w="3155"/>
        <w:gridCol w:w="5103"/>
      </w:tblGrid>
      <w:tr w:rsidR="00DB2C85">
        <w:trPr>
          <w:trHeight w:val="705"/>
        </w:trPr>
        <w:tc>
          <w:tcPr>
            <w:tcW w:w="13482" w:type="dxa"/>
            <w:gridSpan w:val="3"/>
            <w:tcBorders>
              <w:top w:val="nil"/>
              <w:left w:val="nil"/>
              <w:bottom w:val="nil"/>
              <w:right w:val="nil"/>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永清县县直部门固定资产占用情况表</w:t>
            </w:r>
          </w:p>
        </w:tc>
      </w:tr>
      <w:tr w:rsidR="00DB2C85">
        <w:trPr>
          <w:trHeight w:val="510"/>
        </w:trPr>
        <w:tc>
          <w:tcPr>
            <w:tcW w:w="8379" w:type="dxa"/>
            <w:gridSpan w:val="2"/>
            <w:tcBorders>
              <w:top w:val="nil"/>
              <w:left w:val="nil"/>
              <w:bottom w:val="nil"/>
              <w:right w:val="nil"/>
            </w:tcBorders>
            <w:shd w:val="clear" w:color="auto" w:fill="auto"/>
            <w:noWrap/>
            <w:vAlign w:val="center"/>
          </w:tcPr>
          <w:p w:rsidR="00DB2C85" w:rsidRDefault="00161D2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编制部门：永清县</w:t>
            </w:r>
            <w:r>
              <w:rPr>
                <w:rFonts w:ascii="Times New Roman" w:eastAsia="仿宋_GB2312" w:hAnsi="Times New Roman" w:cs="Times New Roman" w:hint="eastAsia"/>
                <w:kern w:val="0"/>
                <w:sz w:val="22"/>
              </w:rPr>
              <w:t>***</w:t>
            </w:r>
          </w:p>
        </w:tc>
        <w:tc>
          <w:tcPr>
            <w:tcW w:w="5103" w:type="dxa"/>
            <w:tcBorders>
              <w:top w:val="nil"/>
              <w:left w:val="nil"/>
              <w:bottom w:val="nil"/>
              <w:right w:val="nil"/>
            </w:tcBorders>
            <w:shd w:val="clear" w:color="auto" w:fill="auto"/>
            <w:noWrap/>
            <w:vAlign w:val="center"/>
          </w:tcPr>
          <w:p w:rsidR="00DB2C85" w:rsidRDefault="00161D2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DB2C85">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DB2C8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1378.65</w:t>
            </w:r>
          </w:p>
        </w:tc>
      </w:tr>
      <w:tr w:rsidR="00DB2C8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7810.23</w:t>
            </w:r>
          </w:p>
        </w:tc>
        <w:tc>
          <w:tcPr>
            <w:tcW w:w="5103"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713</w:t>
            </w:r>
            <w:r>
              <w:rPr>
                <w:rFonts w:ascii="Times New Roman" w:eastAsia="仿宋_GB2312" w:hAnsi="Times New Roman" w:cs="Times New Roman" w:hint="eastAsia"/>
                <w:sz w:val="22"/>
              </w:rPr>
              <w:t>.</w:t>
            </w:r>
            <w:r>
              <w:rPr>
                <w:rFonts w:ascii="Times New Roman" w:eastAsia="仿宋_GB2312" w:hAnsi="Times New Roman" w:cs="Times New Roman" w:hint="eastAsia"/>
                <w:sz w:val="22"/>
              </w:rPr>
              <w:t>4</w:t>
            </w:r>
            <w:r>
              <w:rPr>
                <w:rFonts w:ascii="Times New Roman" w:eastAsia="仿宋_GB2312" w:hAnsi="Times New Roman" w:cs="Times New Roman" w:hint="eastAsia"/>
                <w:sz w:val="22"/>
              </w:rPr>
              <w:t>4</w:t>
            </w:r>
          </w:p>
        </w:tc>
      </w:tr>
      <w:tr w:rsidR="00DB2C8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DB2C85" w:rsidRDefault="00DB2C85">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B2C85" w:rsidRDefault="00DB2C85">
            <w:pPr>
              <w:spacing w:line="584" w:lineRule="exact"/>
              <w:jc w:val="center"/>
              <w:rPr>
                <w:rFonts w:ascii="Times New Roman" w:eastAsia="仿宋_GB2312" w:hAnsi="Times New Roman" w:cs="Times New Roman"/>
                <w:sz w:val="22"/>
              </w:rPr>
            </w:pPr>
          </w:p>
        </w:tc>
      </w:tr>
      <w:tr w:rsidR="00DB2C8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w:t>
            </w:r>
          </w:p>
        </w:tc>
        <w:tc>
          <w:tcPr>
            <w:tcW w:w="5103"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192</w:t>
            </w:r>
            <w:r>
              <w:rPr>
                <w:rFonts w:ascii="Times New Roman" w:eastAsia="仿宋_GB2312" w:hAnsi="Times New Roman" w:cs="Times New Roman" w:hint="eastAsia"/>
                <w:sz w:val="22"/>
              </w:rPr>
              <w:t>.</w:t>
            </w:r>
            <w:r>
              <w:rPr>
                <w:rFonts w:ascii="Times New Roman" w:eastAsia="仿宋_GB2312" w:hAnsi="Times New Roman" w:cs="Times New Roman" w:hint="eastAsia"/>
                <w:sz w:val="22"/>
              </w:rPr>
              <w:t>06</w:t>
            </w:r>
          </w:p>
        </w:tc>
      </w:tr>
      <w:tr w:rsidR="00DB2C85">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DB2C85" w:rsidRDefault="00161D2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DB2C85" w:rsidRDefault="00DB2C85">
            <w:pPr>
              <w:spacing w:line="584" w:lineRule="exact"/>
              <w:jc w:val="center"/>
              <w:rPr>
                <w:rFonts w:ascii="Times New Roman" w:eastAsia="仿宋_GB2312" w:hAnsi="Times New Roman" w:cs="Times New Roman"/>
                <w:sz w:val="22"/>
              </w:rPr>
            </w:pPr>
          </w:p>
        </w:tc>
      </w:tr>
      <w:tr w:rsidR="00DB2C8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B2C85" w:rsidRDefault="00161D2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294</w:t>
            </w:r>
          </w:p>
        </w:tc>
        <w:tc>
          <w:tcPr>
            <w:tcW w:w="5103" w:type="dxa"/>
            <w:tcBorders>
              <w:top w:val="nil"/>
              <w:left w:val="nil"/>
              <w:bottom w:val="single" w:sz="4" w:space="0" w:color="auto"/>
              <w:right w:val="single" w:sz="4" w:space="0" w:color="auto"/>
            </w:tcBorders>
            <w:shd w:val="clear" w:color="auto" w:fill="auto"/>
            <w:noWrap/>
            <w:vAlign w:val="center"/>
          </w:tcPr>
          <w:p w:rsidR="00DB2C85" w:rsidRDefault="00161D2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473.15</w:t>
            </w:r>
          </w:p>
        </w:tc>
      </w:tr>
    </w:tbl>
    <w:p w:rsidR="00DB2C85" w:rsidRDefault="00161D2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w:t>
      </w:r>
      <w:r>
        <w:rPr>
          <w:rFonts w:ascii="Times New Roman" w:eastAsia="黑体" w:hAnsi="Times New Roman" w:cs="Times New Roman"/>
          <w:sz w:val="32"/>
          <w:szCs w:val="32"/>
        </w:rPr>
        <w:t>2020</w:t>
      </w:r>
      <w:r>
        <w:rPr>
          <w:rFonts w:ascii="Times New Roman" w:eastAsia="黑体" w:hAnsi="Times New Roman" w:cs="Times New Roman"/>
          <w:sz w:val="32"/>
          <w:szCs w:val="32"/>
        </w:rPr>
        <w:t>年资金结转情况</w:t>
      </w:r>
    </w:p>
    <w:p w:rsidR="00DB2C85" w:rsidRDefault="00161D21">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2020</w:t>
      </w:r>
      <w:r>
        <w:rPr>
          <w:rFonts w:ascii="Times New Roman" w:eastAsia="仿宋_GB2312" w:hAnsi="Times New Roman" w:cs="Times New Roman"/>
          <w:sz w:val="32"/>
          <w:szCs w:val="32"/>
        </w:rPr>
        <w:t>年结转资金总计</w:t>
      </w:r>
      <w:r>
        <w:rPr>
          <w:rFonts w:ascii="Times New Roman" w:eastAsia="仿宋_GB2312" w:hAnsi="Times New Roman" w:cs="Times New Roman"/>
          <w:sz w:val="32"/>
          <w:szCs w:val="32"/>
        </w:rPr>
        <w:t>1166.9</w:t>
      </w:r>
      <w:r>
        <w:rPr>
          <w:rFonts w:ascii="Times New Roman" w:eastAsia="仿宋_GB2312" w:hAnsi="Times New Roman" w:cs="Times New Roman"/>
          <w:sz w:val="32"/>
          <w:szCs w:val="32"/>
        </w:rPr>
        <w:t>万元。其中包含廊财建</w:t>
      </w:r>
      <w:r>
        <w:rPr>
          <w:rFonts w:ascii="Times New Roman" w:eastAsia="仿宋_GB2312" w:hAnsi="Times New Roman" w:cs="Times New Roman"/>
          <w:sz w:val="32"/>
          <w:szCs w:val="32"/>
        </w:rPr>
        <w:t>[2019]147</w:t>
      </w:r>
      <w:r>
        <w:rPr>
          <w:rFonts w:ascii="Times New Roman" w:eastAsia="仿宋_GB2312" w:hAnsi="Times New Roman" w:cs="Times New Roman"/>
          <w:sz w:val="32"/>
          <w:szCs w:val="32"/>
        </w:rPr>
        <w:t>号省级林业改革发展补助资金</w:t>
      </w:r>
      <w:r>
        <w:rPr>
          <w:rFonts w:ascii="Times New Roman" w:eastAsia="仿宋_GB2312" w:hAnsi="Times New Roman" w:cs="Times New Roman"/>
          <w:sz w:val="32"/>
          <w:szCs w:val="32"/>
        </w:rPr>
        <w:t>210</w:t>
      </w:r>
      <w:r>
        <w:rPr>
          <w:rFonts w:ascii="Times New Roman" w:eastAsia="仿宋_GB2312" w:hAnsi="Times New Roman" w:cs="Times New Roman"/>
          <w:sz w:val="32"/>
          <w:szCs w:val="32"/>
        </w:rPr>
        <w:t>万元；廊财建</w:t>
      </w:r>
      <w:r>
        <w:rPr>
          <w:rFonts w:ascii="Times New Roman" w:eastAsia="仿宋_GB2312" w:hAnsi="Times New Roman" w:cs="Times New Roman"/>
          <w:sz w:val="32"/>
          <w:szCs w:val="32"/>
        </w:rPr>
        <w:t>[2019]146</w:t>
      </w:r>
      <w:r>
        <w:rPr>
          <w:rFonts w:ascii="Times New Roman" w:eastAsia="仿宋_GB2312" w:hAnsi="Times New Roman" w:cs="Times New Roman"/>
          <w:sz w:val="32"/>
          <w:szCs w:val="32"/>
        </w:rPr>
        <w:t>号中央财政林业改革发展资金</w:t>
      </w:r>
      <w:r>
        <w:rPr>
          <w:rFonts w:ascii="Times New Roman" w:eastAsia="仿宋_GB2312" w:hAnsi="Times New Roman" w:cs="Times New Roman"/>
          <w:sz w:val="32"/>
          <w:szCs w:val="32"/>
        </w:rPr>
        <w:t>23.96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年新增费省级返还市县资金（</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部分）</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年造林绿化奖补资金</w:t>
      </w:r>
      <w:r>
        <w:rPr>
          <w:rFonts w:ascii="Times New Roman" w:eastAsia="仿宋_GB2312" w:hAnsi="Times New Roman" w:cs="Times New Roman"/>
          <w:sz w:val="32"/>
          <w:szCs w:val="32"/>
        </w:rPr>
        <w:t>330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年市级林下经济典型奖补资金</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年市级林业改革发展专项资金（京台高速路环工程管护</w:t>
      </w:r>
      <w:r>
        <w:rPr>
          <w:rFonts w:ascii="Times New Roman" w:eastAsia="仿宋_GB2312" w:hAnsi="Times New Roman" w:cs="Times New Roman"/>
          <w:sz w:val="32"/>
          <w:szCs w:val="32"/>
        </w:rPr>
        <w:t>248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248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年中央林业改革发展补助资金（用于退耕还林到期纳入森林抚育</w:t>
      </w:r>
      <w:r>
        <w:rPr>
          <w:rFonts w:ascii="Times New Roman" w:eastAsia="仿宋_GB2312" w:hAnsi="Times New Roman" w:cs="Times New Roman"/>
          <w:sz w:val="32"/>
          <w:szCs w:val="32"/>
        </w:rPr>
        <w:t>12.04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12.04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年中央财政林业改革</w:t>
      </w:r>
      <w:r>
        <w:rPr>
          <w:rFonts w:ascii="Times New Roman" w:eastAsia="仿宋_GB2312" w:hAnsi="Times New Roman" w:cs="Times New Roman"/>
          <w:sz w:val="32"/>
          <w:szCs w:val="32"/>
        </w:rPr>
        <w:t>发展资金（林业科技推广示范补助</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年中央财政林业改革发展资金（林业有害生物防治</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万元；永清县自然资源和规划局</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年林业有害生物防治项目</w:t>
      </w:r>
      <w:r>
        <w:rPr>
          <w:rFonts w:ascii="Times New Roman" w:eastAsia="仿宋_GB2312" w:hAnsi="Times New Roman" w:cs="Times New Roman"/>
          <w:sz w:val="32"/>
          <w:szCs w:val="32"/>
        </w:rPr>
        <w:t>50.50</w:t>
      </w:r>
      <w:r>
        <w:rPr>
          <w:rFonts w:ascii="Times New Roman" w:eastAsia="仿宋_GB2312" w:hAnsi="Times New Roman" w:cs="Times New Roman"/>
          <w:sz w:val="32"/>
          <w:szCs w:val="32"/>
        </w:rPr>
        <w:t>万元；永清县自然资源和规划局不动产平台建设尾款</w:t>
      </w:r>
      <w:r>
        <w:rPr>
          <w:rFonts w:ascii="Times New Roman" w:eastAsia="仿宋_GB2312" w:hAnsi="Times New Roman" w:cs="Times New Roman"/>
          <w:sz w:val="32"/>
          <w:szCs w:val="32"/>
        </w:rPr>
        <w:t>19.6</w:t>
      </w:r>
      <w:r>
        <w:rPr>
          <w:rFonts w:ascii="Times New Roman" w:eastAsia="仿宋_GB2312" w:hAnsi="Times New Roman" w:cs="Times New Roman"/>
          <w:sz w:val="32"/>
          <w:szCs w:val="32"/>
        </w:rPr>
        <w:t>万元；永清县自然资源和规划局档案数字化管理建设项目（二期）</w:t>
      </w:r>
      <w:r>
        <w:rPr>
          <w:rFonts w:ascii="Times New Roman" w:eastAsia="仿宋_GB2312" w:hAnsi="Times New Roman" w:cs="Times New Roman"/>
          <w:sz w:val="32"/>
          <w:szCs w:val="32"/>
        </w:rPr>
        <w:t>59.2</w:t>
      </w:r>
      <w:r>
        <w:rPr>
          <w:rFonts w:ascii="Times New Roman" w:eastAsia="仿宋_GB2312" w:hAnsi="Times New Roman" w:cs="Times New Roman"/>
          <w:sz w:val="32"/>
          <w:szCs w:val="32"/>
        </w:rPr>
        <w:t>万元；永清县自然资源和规划局永清县土地利用总体规划调整完善项目</w:t>
      </w:r>
      <w:r>
        <w:rPr>
          <w:rFonts w:ascii="Times New Roman" w:eastAsia="仿宋_GB2312" w:hAnsi="Times New Roman" w:cs="Times New Roman"/>
          <w:sz w:val="32"/>
          <w:szCs w:val="32"/>
        </w:rPr>
        <w:t>18.6</w:t>
      </w:r>
      <w:r>
        <w:rPr>
          <w:rFonts w:ascii="Times New Roman" w:eastAsia="仿宋_GB2312" w:hAnsi="Times New Roman" w:cs="Times New Roman"/>
          <w:sz w:val="32"/>
          <w:szCs w:val="32"/>
        </w:rPr>
        <w:t>万元。</w:t>
      </w:r>
    </w:p>
    <w:p w:rsidR="00DB2C85" w:rsidRDefault="00161D2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九、名词解释</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sidR="005256B4">
        <w:rPr>
          <w:rFonts w:ascii="Times New Roman" w:eastAsia="仿宋_GB2312" w:hAnsi="Times New Roman" w:cs="Times New Roman"/>
          <w:sz w:val="32"/>
          <w:szCs w:val="32"/>
        </w:rPr>
        <w:t>指</w:t>
      </w:r>
      <w:r w:rsidR="005256B4">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财政当年拨付的资金。</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DB2C85" w:rsidRDefault="00161D21" w:rsidP="005256B4">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5256B4">
        <w:rPr>
          <w:rFonts w:ascii="Times New Roman" w:eastAsia="仿宋_GB2312" w:hAnsi="Times New Roman" w:cs="Times New Roman"/>
          <w:sz w:val="32"/>
          <w:szCs w:val="32"/>
        </w:rPr>
        <w:t>纳入</w:t>
      </w:r>
      <w:r w:rsidR="005256B4">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5256B4">
        <w:rPr>
          <w:rFonts w:ascii="Times New Roman" w:eastAsia="仿宋_GB2312" w:hAnsi="Times New Roman" w:cs="Times New Roman"/>
          <w:sz w:val="32"/>
          <w:szCs w:val="32"/>
        </w:rPr>
        <w:t>经费，是指</w:t>
      </w:r>
      <w:r w:rsidR="005256B4">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级部门用财政拨款安排的因公出国（境）费、公务用车购置及运维费和公务接待费。其中，因公出国（境）费反映单位公务出国（境）的住宿费、旅</w:t>
      </w:r>
      <w:r>
        <w:rPr>
          <w:rFonts w:ascii="Times New Roman" w:eastAsia="仿宋_GB2312" w:hAnsi="Times New Roman" w:cs="Times New Roman"/>
          <w:sz w:val="32"/>
          <w:szCs w:val="32"/>
        </w:rPr>
        <w:t>费、伙食补助费、杂费、培训费</w:t>
      </w:r>
      <w:bookmarkStart w:id="3" w:name="_GoBack"/>
      <w:bookmarkEnd w:id="3"/>
      <w:r>
        <w:rPr>
          <w:rFonts w:ascii="Times New Roman" w:eastAsia="仿宋_GB2312" w:hAnsi="Times New Roman" w:cs="Times New Roman"/>
          <w:sz w:val="32"/>
          <w:szCs w:val="32"/>
        </w:rPr>
        <w:t>等支出；公务用车购置及运维费反映单位公务用车购置费及租用费、燃料费、维修费、过路过桥费、保险费、安全奖励费用等支出；公务接待费反映单位按规定开支的各类公务接待（含外宾接待）支出。</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DB2C85" w:rsidRDefault="00161D21" w:rsidP="005256B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DB2C85" w:rsidRDefault="00161D2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十、其他需要说明的事项</w:t>
      </w:r>
    </w:p>
    <w:p w:rsidR="00DB2C85" w:rsidRDefault="00161D2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DB2C85" w:rsidSect="00DB2C85">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21" w:rsidRDefault="00161D21" w:rsidP="00DB2C85">
      <w:r>
        <w:separator/>
      </w:r>
    </w:p>
  </w:endnote>
  <w:endnote w:type="continuationSeparator" w:id="0">
    <w:p w:rsidR="00161D21" w:rsidRDefault="00161D21" w:rsidP="00DB2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书宋_GBK">
    <w:altName w:val="微软雅黑"/>
    <w:charset w:val="86"/>
    <w:family w:val="script"/>
    <w:pitch w:val="variable"/>
    <w:sig w:usb0="00000000" w:usb1="00000000" w:usb2="00000010" w:usb3="00000000" w:csb0="00040000" w:csb1="00000000"/>
  </w:font>
  <w:font w:name="方正小标宋_GBK">
    <w:altName w:val="微软雅黑"/>
    <w:charset w:val="86"/>
    <w:family w:val="script"/>
    <w:pitch w:val="variable"/>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85" w:rsidRDefault="00161D21">
    <w:pPr>
      <w:pStyle w:val="a4"/>
      <w:jc w:val="center"/>
    </w:pPr>
    <w:r>
      <w:rPr>
        <w:rFonts w:hint="eastAsia"/>
      </w:rPr>
      <w:t>-</w:t>
    </w:r>
    <w:r w:rsidR="00DB2C85" w:rsidRPr="00DB2C85">
      <w:fldChar w:fldCharType="begin"/>
    </w:r>
    <w:r>
      <w:instrText xml:space="preserve">PAGE   \* </w:instrText>
    </w:r>
    <w:r>
      <w:instrText>MERGEFORMAT</w:instrText>
    </w:r>
    <w:r w:rsidR="00DB2C85" w:rsidRPr="00DB2C85">
      <w:fldChar w:fldCharType="separate"/>
    </w:r>
    <w:r w:rsidR="005256B4" w:rsidRPr="005256B4">
      <w:rPr>
        <w:noProof/>
        <w:lang w:val="zh-CN"/>
      </w:rPr>
      <w:t>1</w:t>
    </w:r>
    <w:r w:rsidR="00DB2C85">
      <w:rPr>
        <w:lang w:val="zh-CN"/>
      </w:rPr>
      <w:fldChar w:fldCharType="end"/>
    </w:r>
    <w:r>
      <w:rPr>
        <w:rFonts w:hint="eastAsia"/>
      </w:rPr>
      <w:t>-</w:t>
    </w:r>
  </w:p>
  <w:p w:rsidR="00DB2C85" w:rsidRDefault="00DB2C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21" w:rsidRDefault="00161D21" w:rsidP="00DB2C85">
      <w:r>
        <w:separator/>
      </w:r>
    </w:p>
  </w:footnote>
  <w:footnote w:type="continuationSeparator" w:id="0">
    <w:p w:rsidR="00161D21" w:rsidRDefault="00161D21" w:rsidP="00DB2C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compat>
  <w:rsids>
    <w:rsidRoot w:val="00DB2C85"/>
    <w:rsid w:val="00161D21"/>
    <w:rsid w:val="005256B4"/>
    <w:rsid w:val="00DB2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2C85"/>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DB2C85"/>
    <w:rPr>
      <w:sz w:val="18"/>
      <w:szCs w:val="18"/>
    </w:rPr>
  </w:style>
  <w:style w:type="paragraph" w:styleId="a4">
    <w:name w:val="footer"/>
    <w:basedOn w:val="a"/>
    <w:rsid w:val="00DB2C85"/>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rsid w:val="00DB2C8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DB2C85"/>
    <w:rPr>
      <w:rFonts w:ascii="Times New Roman" w:hAnsi="Times New Roman" w:cs="Times New Roman"/>
      <w:szCs w:val="24"/>
    </w:rPr>
  </w:style>
  <w:style w:type="paragraph" w:styleId="a6">
    <w:name w:val="footnote text"/>
    <w:basedOn w:val="a"/>
    <w:rsid w:val="00DB2C85"/>
    <w:pPr>
      <w:snapToGrid w:val="0"/>
      <w:jc w:val="left"/>
    </w:pPr>
    <w:rPr>
      <w:rFonts w:cs="Times New Roman"/>
      <w:sz w:val="18"/>
      <w:szCs w:val="18"/>
    </w:rPr>
  </w:style>
  <w:style w:type="paragraph" w:styleId="2">
    <w:name w:val="toc 2"/>
    <w:basedOn w:val="a"/>
    <w:next w:val="a"/>
    <w:rsid w:val="00DB2C85"/>
    <w:pPr>
      <w:ind w:leftChars="200" w:left="200"/>
    </w:pPr>
    <w:rPr>
      <w:rFonts w:ascii="Times New Roman" w:hAnsi="Times New Roman" w:cs="Times New Roman"/>
      <w:szCs w:val="24"/>
    </w:rPr>
  </w:style>
  <w:style w:type="character" w:styleId="a7">
    <w:name w:val="footnote reference"/>
    <w:rsid w:val="00DB2C85"/>
    <w:rPr>
      <w:vertAlign w:val="superscript"/>
    </w:rPr>
  </w:style>
  <w:style w:type="paragraph" w:customStyle="1" w:styleId="Default">
    <w:name w:val="Default"/>
    <w:rsid w:val="00DB2C85"/>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4662</Words>
  <Characters>26577</Characters>
  <Application>Microsoft Office Word</Application>
  <DocSecurity>0</DocSecurity>
  <Lines>221</Lines>
  <Paragraphs>62</Paragraphs>
  <ScaleCrop>false</ScaleCrop>
  <Company>Microsoft</Company>
  <LinksUpToDate>false</LinksUpToDate>
  <CharactersWithSpaces>31177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93</cp:revision>
  <cp:lastPrinted>2018-01-30T06:12:00Z</cp:lastPrinted>
  <dcterms:created xsi:type="dcterms:W3CDTF">2020-01-13T03:27:00Z</dcterms:created>
  <dcterms:modified xsi:type="dcterms:W3CDTF">2022-07-16T20:59:00Z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