
<file path=[Content_Types].xml><?xml version="1.0" encoding="utf-8"?>
<Types xmlns="http://schemas.openxmlformats.org/package/2006/content-types">
  <Default Extension="rels" ContentType="application/vnd.openxmlformats-package.relationships+xml"/>
  <Default Extension="xml" ContentType="application/xml"/>
  <Override PartName="/word/settings.xml" ContentType="application/vnd.openxmlformats-officedocument.wordprocessingml.setting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customXml/itemProps1.xml" ContentType="application/vnd.openxmlformats-officedocument.customXmlPropertie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body>
    <w:p>
      <w:pPr>
        <w:spacing w:line="584" w:lineRule="exact"/>
        <w:ind w:firstLineChars="200" w:firstLine="880"/>
        <w:jc w:val="center"/>
        <w:rPr>
          <w:rFonts w:ascii="Times New Roman" w:eastAsia="仿宋_GB2312" w:cs="Times New Roman" w:hAnsi="Times New Roman"/>
          <w:sz w:val="44"/>
          <w:szCs w:val="44"/>
        </w:rPr>
      </w:pPr>
    </w:p>
    <w:p>
      <w:pPr>
        <w:spacing w:line="584" w:lineRule="exact"/>
        <w:ind w:firstLineChars="200" w:firstLine="880"/>
        <w:jc w:val="center"/>
        <w:rPr>
          <w:rFonts w:ascii="方正小标宋简体" w:eastAsia="方正小标宋简体" w:cs="Times New Roman" w:hAnsi="Times New Roman" w:hint="eastAsia"/>
          <w:sz w:val="44"/>
          <w:szCs w:val="44"/>
        </w:rPr>
      </w:pPr>
      <w:r>
        <w:rPr>
          <w:rFonts w:ascii="方正小标宋简体" w:eastAsia="方正小标宋简体" w:cs="Times New Roman" w:hAnsi="Times New Roman" w:hint="eastAsia"/>
          <w:sz w:val="44"/>
          <w:szCs w:val="44"/>
        </w:rPr>
        <w:t>永清县应急管理局202</w:t>
      </w:r>
      <w:r>
        <w:rPr>
          <w:rFonts w:ascii="方正小标宋简体" w:eastAsia="方正小标宋简体" w:cs="Times New Roman" w:hAnsi="Times New Roman" w:hint="eastAsia"/>
          <w:sz w:val="44"/>
          <w:szCs w:val="44"/>
          <w:lang w:val="en-US" w:eastAsia="zh-CN"/>
        </w:rPr>
        <w:t>2</w:t>
      </w:r>
      <w:r>
        <w:rPr>
          <w:rFonts w:ascii="方正小标宋简体" w:eastAsia="方正小标宋简体" w:cs="Times New Roman" w:hAnsi="Times New Roman" w:hint="eastAsia"/>
          <w:sz w:val="44"/>
          <w:szCs w:val="44"/>
        </w:rPr>
        <w:t>年</w:t>
      </w:r>
      <w:r>
        <w:rPr>
          <w:rFonts w:ascii="方正小标宋简体" w:eastAsia="方正小标宋简体" w:cs="Times New Roman" w:hAnsi="Times New Roman" w:hint="eastAsia"/>
          <w:sz w:val="44"/>
          <w:szCs w:val="44"/>
          <w:lang w:eastAsia="zh-CN"/>
        </w:rPr>
        <w:t>单位</w:t>
      </w:r>
      <w:r>
        <w:rPr>
          <w:rFonts w:ascii="方正小标宋简体" w:eastAsia="方正小标宋简体" w:cs="Times New Roman" w:hAnsi="Times New Roman" w:hint="eastAsia"/>
          <w:sz w:val="44"/>
          <w:szCs w:val="44"/>
        </w:rPr>
        <w:t>预算信息公开情况说明</w:t>
      </w:r>
    </w:p>
    <w:p>
      <w:pPr>
        <w:spacing w:line="584" w:lineRule="exact"/>
        <w:ind w:firstLineChars="200" w:firstLine="880"/>
        <w:jc w:val="center"/>
        <w:rPr>
          <w:rFonts w:ascii="Times New Roman" w:eastAsia="仿宋_GB2312" w:cs="Times New Roman" w:hAnsi="Times New Roman"/>
          <w:sz w:val="44"/>
          <w:szCs w:val="44"/>
        </w:rPr>
      </w:pPr>
    </w:p>
    <w:p>
      <w:pPr>
        <w:spacing w:line="584" w:lineRule="exact"/>
        <w:ind w:firstLineChars="200" w:firstLine="640"/>
        <w:rPr>
          <w:rFonts w:ascii="Times New Roman" w:eastAsia="仿宋_GB2312" w:cs="Times New Roman" w:hAnsi="Times New Roman"/>
          <w:sz w:val="32"/>
          <w:szCs w:val="32"/>
        </w:rPr>
      </w:pPr>
      <w:r>
        <w:rPr>
          <w:rFonts w:ascii="Times New Roman" w:eastAsia="仿宋_GB2312" w:cs="Times New Roman" w:hAnsi="Times New Roman"/>
          <w:sz w:val="32"/>
          <w:szCs w:val="32"/>
        </w:rPr>
        <w:t>按照《中华人民共和国</w:t>
      </w:r>
      <w:bookmarkStart w:id="0" w:name="_GoBack"/>
      <w:bookmarkEnd w:id="0"/>
      <w:r>
        <w:rPr>
          <w:rFonts w:ascii="Times New Roman" w:eastAsia="仿宋_GB2312" w:cs="Times New Roman" w:hAnsi="Times New Roman"/>
          <w:sz w:val="32"/>
          <w:szCs w:val="32"/>
        </w:rPr>
        <w:t>预算法》、《地方预决算公开操作规程》和《河北省省级预算公开办法》规定，现将永清县</w:t>
      </w:r>
      <w:r>
        <w:rPr>
          <w:rFonts w:ascii="Times New Roman" w:eastAsia="仿宋_GB2312" w:cs="Times New Roman" w:hAnsi="Times New Roman" w:hint="eastAsia"/>
          <w:sz w:val="32"/>
          <w:szCs w:val="32"/>
        </w:rPr>
        <w:t>应急管理局</w:t>
      </w:r>
      <w:r>
        <w:rPr>
          <w:rFonts w:ascii="Times New Roman" w:eastAsia="仿宋_GB2312" w:cs="Times New Roman" w:hAnsi="Times New Roman"/>
          <w:sz w:val="32"/>
          <w:szCs w:val="32"/>
        </w:rPr>
        <w:t>202</w:t>
      </w:r>
      <w:r>
        <w:rPr>
          <w:rFonts w:ascii="Times New Roman" w:eastAsia="仿宋_GB2312" w:cs="Times New Roman" w:hAnsi="Times New Roman" w:hint="eastAsia"/>
          <w:sz w:val="32"/>
          <w:szCs w:val="32"/>
          <w:lang w:val="en-US" w:eastAsia="zh-CN"/>
        </w:rPr>
        <w:t>2</w:t>
      </w:r>
      <w:r>
        <w:rPr>
          <w:rFonts w:ascii="Times New Roman" w:eastAsia="仿宋_GB2312" w:cs="Times New Roman" w:hAnsi="Times New Roman"/>
          <w:sz w:val="32"/>
          <w:szCs w:val="32"/>
        </w:rPr>
        <w:t>年</w:t>
      </w:r>
      <w:r>
        <w:rPr>
          <w:rFonts w:ascii="Times New Roman" w:eastAsia="仿宋_GB2312" w:cs="Times New Roman" w:hAnsi="Times New Roman" w:hint="eastAsia"/>
          <w:sz w:val="32"/>
          <w:szCs w:val="32"/>
          <w:lang w:eastAsia="zh-CN"/>
        </w:rPr>
        <w:t>单位</w:t>
      </w:r>
      <w:r>
        <w:rPr>
          <w:rFonts w:ascii="Times New Roman" w:eastAsia="仿宋_GB2312" w:cs="Times New Roman" w:hAnsi="Times New Roman"/>
          <w:sz w:val="32"/>
          <w:szCs w:val="32"/>
        </w:rPr>
        <w:t>预算公开如下：</w:t>
      </w:r>
    </w:p>
    <w:p>
      <w:pPr>
        <w:spacing w:line="584" w:lineRule="exact"/>
        <w:ind w:firstLineChars="200" w:firstLine="640"/>
        <w:rPr>
          <w:rFonts w:ascii="Times New Roman" w:eastAsia="黑体" w:cs="Times New Roman" w:hAnsi="Times New Roman"/>
          <w:sz w:val="32"/>
          <w:szCs w:val="32"/>
        </w:rPr>
      </w:pPr>
      <w:r>
        <w:rPr>
          <w:rFonts w:ascii="Times New Roman" w:eastAsia="黑体" w:cs="Times New Roman" w:hAnsi="Times New Roman"/>
          <w:sz w:val="32"/>
          <w:szCs w:val="32"/>
        </w:rPr>
        <w:t>一、</w:t>
      </w:r>
      <w:r>
        <w:rPr>
          <w:rFonts w:ascii="Times New Roman" w:eastAsia="黑体" w:cs="Times New Roman" w:hAnsi="Times New Roman" w:hint="eastAsia"/>
          <w:sz w:val="32"/>
          <w:szCs w:val="32"/>
          <w:lang w:eastAsia="zh-CN"/>
        </w:rPr>
        <w:t>单位</w:t>
      </w:r>
      <w:r>
        <w:rPr>
          <w:rFonts w:ascii="Times New Roman" w:eastAsia="黑体" w:cs="Times New Roman" w:hAnsi="Times New Roman"/>
          <w:sz w:val="32"/>
          <w:szCs w:val="32"/>
        </w:rPr>
        <w:t>职责及机构设置情况</w:t>
      </w:r>
    </w:p>
    <w:p>
      <w:pPr>
        <w:spacing w:line="584" w:lineRule="exact"/>
        <w:ind w:firstLineChars="200" w:firstLine="640"/>
        <w:rPr>
          <w:rFonts w:ascii="Times New Roman" w:eastAsia="楷体_GB2312" w:cs="Times New Roman" w:hAnsi="Times New Roman"/>
          <w:b/>
          <w:sz w:val="32"/>
          <w:szCs w:val="32"/>
        </w:rPr>
      </w:pPr>
      <w:r>
        <w:rPr>
          <w:rFonts w:ascii="Times New Roman" w:eastAsia="楷体_GB2312" w:cs="Times New Roman" w:hAnsi="Times New Roman" w:hint="eastAsia"/>
          <w:b/>
          <w:sz w:val="32"/>
          <w:szCs w:val="32"/>
          <w:lang w:eastAsia="zh-CN"/>
        </w:rPr>
        <w:t>单位</w:t>
      </w:r>
      <w:r>
        <w:rPr>
          <w:rFonts w:ascii="Times New Roman" w:eastAsia="楷体_GB2312" w:cs="Times New Roman" w:hAnsi="Times New Roman"/>
          <w:b/>
          <w:sz w:val="32"/>
          <w:szCs w:val="32"/>
        </w:rPr>
        <w:t>职责：</w:t>
      </w:r>
    </w:p>
    <w:p>
      <w:pPr>
        <w:spacing w:line="600" w:lineRule="exact"/>
        <w:ind w:firstLineChars="200" w:firstLine="640"/>
        <w:rPr>
          <w:rFonts w:ascii="仿宋_GB2312" w:eastAsia="仿宋_GB2312" w:cs="Times New Roman" w:hAnsi="Times New Roman"/>
          <w:sz w:val="32"/>
          <w:szCs w:val="32"/>
        </w:rPr>
      </w:pPr>
      <w:r>
        <w:rPr>
          <w:rFonts w:ascii="仿宋_GB2312" w:eastAsia="仿宋_GB2312" w:cs="Times New Roman" w:hAnsi="Times New Roman" w:hint="eastAsia"/>
          <w:sz w:val="32"/>
          <w:szCs w:val="32"/>
        </w:rPr>
        <w:t>（1）负责应急管理工作，指导各级各</w:t>
      </w:r>
      <w:r>
        <w:rPr>
          <w:rFonts w:ascii="仿宋_GB2312" w:eastAsia="仿宋_GB2312" w:cs="Times New Roman" w:hAnsi="Times New Roman" w:hint="eastAsia"/>
          <w:sz w:val="32"/>
          <w:szCs w:val="32"/>
          <w:lang w:eastAsia="zh-CN"/>
        </w:rPr>
        <w:t>单位</w:t>
      </w:r>
      <w:r>
        <w:rPr>
          <w:rFonts w:ascii="仿宋_GB2312" w:eastAsia="仿宋_GB2312" w:cs="Times New Roman" w:hAnsi="Times New Roman" w:hint="eastAsia"/>
          <w:sz w:val="32"/>
          <w:szCs w:val="32"/>
        </w:rPr>
        <w:t>应对安全生产类、自然灾害类等突发事件和综合防灾减灾救灾工作。负责安全生产综合监督管理和工矿商贸行业安全生产监督管理工作。</w:t>
      </w:r>
    </w:p>
    <w:p>
      <w:pPr>
        <w:spacing w:line="600" w:lineRule="exact"/>
        <w:ind w:firstLineChars="200" w:firstLine="640"/>
        <w:rPr>
          <w:rFonts w:ascii="仿宋_GB2312" w:eastAsia="仿宋_GB2312" w:cs="Times New Roman" w:hAnsi="Times New Roman"/>
          <w:sz w:val="32"/>
          <w:szCs w:val="32"/>
        </w:rPr>
      </w:pPr>
      <w:r>
        <w:rPr>
          <w:rFonts w:ascii="仿宋_GB2312" w:eastAsia="仿宋_GB2312" w:cs="Times New Roman" w:hAnsi="Times New Roman" w:hint="eastAsia"/>
          <w:sz w:val="32"/>
          <w:szCs w:val="32"/>
        </w:rPr>
        <w:t>（2）拟订应急管理、安全生产等政策规定，组织编制县应急体系建设、安全生产和综合防灾减灾规划，组织编制防震减灾规划、计划，组织制定相关规程和标准并监督实施。</w:t>
      </w:r>
    </w:p>
    <w:p>
      <w:pPr>
        <w:spacing w:line="600" w:lineRule="exact"/>
        <w:ind w:firstLineChars="200" w:firstLine="640"/>
        <w:rPr>
          <w:rFonts w:ascii="仿宋_GB2312" w:eastAsia="仿宋_GB2312" w:cs="Times New Roman" w:hAnsi="Times New Roman"/>
          <w:sz w:val="32"/>
          <w:szCs w:val="32"/>
        </w:rPr>
      </w:pPr>
      <w:r>
        <w:rPr>
          <w:rFonts w:ascii="仿宋_GB2312" w:eastAsia="仿宋_GB2312" w:cs="Times New Roman" w:hAnsi="Times New Roman" w:hint="eastAsia"/>
          <w:sz w:val="32"/>
          <w:szCs w:val="32"/>
        </w:rPr>
        <w:t>（3）指导应急预案体系建设，建立完善事故灾难和自然灾害分级应对制度，组织编制县总体应急预案和安全生产类、自然灾害类专项预案，综合协调应急预案衔接工作，组织开展预案演练，推动应急避难设施建设。</w:t>
      </w:r>
    </w:p>
    <w:p>
      <w:pPr>
        <w:spacing w:line="600" w:lineRule="exact"/>
        <w:ind w:firstLineChars="200" w:firstLine="640"/>
        <w:rPr>
          <w:rFonts w:ascii="仿宋_GB2312" w:eastAsia="仿宋_GB2312" w:cs="Times New Roman" w:hAnsi="Times New Roman"/>
          <w:sz w:val="32"/>
          <w:szCs w:val="32"/>
        </w:rPr>
      </w:pPr>
      <w:r>
        <w:rPr>
          <w:rFonts w:ascii="仿宋_GB2312" w:eastAsia="仿宋_GB2312" w:cs="Times New Roman" w:hAnsi="Times New Roman" w:hint="eastAsia"/>
          <w:sz w:val="32"/>
          <w:szCs w:val="32"/>
        </w:rPr>
        <w:t>（4）牵头建立统一的全县应急管理信息系统，负责信息传输渠道的规划和布局，建立监测预警和灾情报告制度，健全自然灾害信息资源获取和共享机制，依法统一发布灾情。</w:t>
      </w:r>
    </w:p>
    <w:p>
      <w:pPr>
        <w:spacing w:line="600" w:lineRule="exact"/>
        <w:ind w:firstLineChars="200" w:firstLine="640"/>
        <w:rPr>
          <w:rFonts w:ascii="仿宋_GB2312" w:eastAsia="仿宋_GB2312" w:cs="Times New Roman" w:hAnsi="Times New Roman"/>
          <w:sz w:val="32"/>
          <w:szCs w:val="32"/>
        </w:rPr>
      </w:pPr>
      <w:r>
        <w:rPr>
          <w:rFonts w:ascii="仿宋_GB2312" w:eastAsia="仿宋_GB2312" w:cs="Times New Roman" w:hAnsi="Times New Roman" w:hint="eastAsia"/>
          <w:sz w:val="32"/>
          <w:szCs w:val="32"/>
        </w:rPr>
        <w:t>（5）组织指导协调安全生产类、自然灾害类等突发事件应急救援，承担县应对重大灾害指挥部工作，综合研判突发事件发展态势并提出应对建议，协助县委、县政府指定的负责同志组织重大灾害应急处置工作。</w:t>
      </w:r>
    </w:p>
    <w:p>
      <w:pPr>
        <w:spacing w:line="600" w:lineRule="exact"/>
        <w:ind w:firstLineChars="200" w:firstLine="640"/>
        <w:rPr>
          <w:rFonts w:ascii="仿宋_GB2312" w:eastAsia="仿宋_GB2312" w:cs="Times New Roman" w:hAnsi="Times New Roman"/>
          <w:sz w:val="32"/>
          <w:szCs w:val="32"/>
        </w:rPr>
      </w:pPr>
      <w:r>
        <w:rPr>
          <w:rFonts w:ascii="仿宋_GB2312" w:eastAsia="仿宋_GB2312" w:cs="Times New Roman" w:hAnsi="Times New Roman" w:hint="eastAsia"/>
          <w:sz w:val="32"/>
          <w:szCs w:val="32"/>
        </w:rPr>
        <w:t>（6）统一协调指挥各类应急专业队伍，建立应急协调联动机制，推进指挥平台对接，衔接解放军和武警部队参与应急救援工作。</w:t>
      </w:r>
    </w:p>
    <w:p>
      <w:pPr>
        <w:spacing w:line="600" w:lineRule="exact"/>
        <w:ind w:firstLineChars="200" w:firstLine="640"/>
        <w:rPr>
          <w:rFonts w:ascii="仿宋_GB2312" w:eastAsia="仿宋_GB2312" w:cs="Times New Roman" w:hAnsi="Times New Roman"/>
          <w:sz w:val="32"/>
          <w:szCs w:val="32"/>
        </w:rPr>
      </w:pPr>
      <w:r>
        <w:rPr>
          <w:rFonts w:ascii="仿宋_GB2312" w:eastAsia="仿宋_GB2312" w:cs="Times New Roman" w:hAnsi="Times New Roman" w:hint="eastAsia"/>
          <w:sz w:val="32"/>
          <w:szCs w:val="32"/>
        </w:rPr>
        <w:t>（7）统筹应急救援力量建设，负责消防、森林和草原火灾扑救、抗洪抢险、地震和地质灾害救援、生产安全事故救援等专业应急救援力量建设，管理县综合性应急救援队伍，指导各级及社会应急救援力量建设。</w:t>
      </w:r>
    </w:p>
    <w:p>
      <w:pPr>
        <w:spacing w:line="600" w:lineRule="exact"/>
        <w:ind w:firstLineChars="200" w:firstLine="640"/>
        <w:rPr>
          <w:rFonts w:ascii="仿宋_GB2312" w:eastAsia="仿宋_GB2312" w:cs="Times New Roman" w:hAnsi="Times New Roman"/>
          <w:sz w:val="32"/>
          <w:szCs w:val="32"/>
        </w:rPr>
      </w:pPr>
      <w:r>
        <w:rPr>
          <w:rFonts w:ascii="仿宋_GB2312" w:eastAsia="仿宋_GB2312" w:cs="Times New Roman" w:hAnsi="Times New Roman" w:hint="eastAsia"/>
          <w:sz w:val="32"/>
          <w:szCs w:val="32"/>
        </w:rPr>
        <w:t>（8）组织协调消防工作，指导各级消防监督、火灾预防、火灾扑救等工作。</w:t>
      </w:r>
    </w:p>
    <w:p>
      <w:pPr>
        <w:spacing w:line="600" w:lineRule="exact"/>
        <w:ind w:firstLineChars="200" w:firstLine="640"/>
        <w:rPr>
          <w:rFonts w:ascii="仿宋_GB2312" w:eastAsia="仿宋_GB2312" w:cs="Times New Roman" w:hAnsi="Times New Roman"/>
          <w:sz w:val="32"/>
          <w:szCs w:val="32"/>
        </w:rPr>
      </w:pPr>
      <w:r>
        <w:rPr>
          <w:rFonts w:ascii="仿宋_GB2312" w:eastAsia="仿宋_GB2312" w:cs="Times New Roman" w:hAnsi="Times New Roman" w:hint="eastAsia"/>
          <w:sz w:val="32"/>
          <w:szCs w:val="32"/>
        </w:rPr>
        <w:t>（9）指导协调森林和草原火灾、水旱灾害、地质灾害等防治工作，组织开展地震监测预报工作和地震灾害预防工作，负责自然灾害综合监测预警工作，指导开展自然灾害综合风险评估工作。</w:t>
      </w:r>
    </w:p>
    <w:p>
      <w:pPr>
        <w:spacing w:line="600" w:lineRule="exact"/>
        <w:ind w:firstLineChars="200" w:firstLine="640"/>
        <w:rPr>
          <w:rFonts w:ascii="仿宋_GB2312" w:eastAsia="仿宋_GB2312" w:cs="Times New Roman" w:hAnsi="Times New Roman"/>
          <w:sz w:val="32"/>
          <w:szCs w:val="32"/>
        </w:rPr>
      </w:pPr>
      <w:r>
        <w:rPr>
          <w:rFonts w:ascii="仿宋_GB2312" w:eastAsia="仿宋_GB2312" w:cs="Times New Roman" w:hAnsi="Times New Roman" w:hint="eastAsia"/>
          <w:sz w:val="32"/>
          <w:szCs w:val="32"/>
        </w:rPr>
        <w:t>（10）组织协调灾害救助工作，组织指导灾情核查、损失评估、救灾捐赠工作，管理、分配县救灾款物并监督使用。</w:t>
      </w:r>
    </w:p>
    <w:p>
      <w:pPr>
        <w:spacing w:line="600" w:lineRule="exact"/>
        <w:ind w:firstLineChars="200" w:firstLine="640"/>
        <w:rPr>
          <w:rFonts w:ascii="仿宋_GB2312" w:eastAsia="仿宋_GB2312" w:cs="Times New Roman" w:hAnsi="Times New Roman"/>
          <w:sz w:val="32"/>
          <w:szCs w:val="32"/>
        </w:rPr>
      </w:pPr>
      <w:r>
        <w:rPr>
          <w:rFonts w:ascii="仿宋_GB2312" w:eastAsia="仿宋_GB2312" w:cs="Times New Roman" w:hAnsi="Times New Roman" w:hint="eastAsia"/>
          <w:sz w:val="32"/>
          <w:szCs w:val="32"/>
        </w:rPr>
        <w:t>（11）依法行使县安全生产综合监督管理职权，指导协调、监督检查县有关</w:t>
      </w:r>
      <w:r>
        <w:rPr>
          <w:rFonts w:ascii="仿宋_GB2312" w:eastAsia="仿宋_GB2312" w:cs="Times New Roman" w:hAnsi="Times New Roman" w:hint="eastAsia"/>
          <w:sz w:val="32"/>
          <w:szCs w:val="32"/>
          <w:lang w:eastAsia="zh-CN"/>
        </w:rPr>
        <w:t>单位</w:t>
      </w:r>
      <w:r>
        <w:rPr>
          <w:rFonts w:ascii="仿宋_GB2312" w:eastAsia="仿宋_GB2312" w:cs="Times New Roman" w:hAnsi="Times New Roman" w:hint="eastAsia"/>
          <w:sz w:val="32"/>
          <w:szCs w:val="32"/>
        </w:rPr>
        <w:t>和各乡镇（区、办）安全生产工作，组织开展安全生产巡查、考核工作。</w:t>
      </w:r>
    </w:p>
    <w:p>
      <w:pPr>
        <w:spacing w:line="600" w:lineRule="exact"/>
        <w:ind w:firstLineChars="200" w:firstLine="640"/>
        <w:rPr>
          <w:rFonts w:ascii="仿宋_GB2312" w:eastAsia="仿宋_GB2312" w:cs="Times New Roman" w:hAnsi="Times New Roman"/>
          <w:sz w:val="32"/>
          <w:szCs w:val="32"/>
        </w:rPr>
      </w:pPr>
      <w:r>
        <w:rPr>
          <w:rFonts w:ascii="仿宋_GB2312" w:eastAsia="仿宋_GB2312" w:cs="Times New Roman" w:hAnsi="Times New Roman" w:hint="eastAsia"/>
          <w:sz w:val="32"/>
          <w:szCs w:val="32"/>
        </w:rPr>
        <w:t>（12）按照分级、属地原则，依法监督检查工矿商贸生产经营单位贯彻执行安全生产法律法规情况，及其安全生产条件和有关设备（特种设备除外）、材料、劳动防护用品的安全生产管理工作；依法组织并指导监督实施安全生产准入制度；负责危险化学品安全监督管理综合工作和烟花爆竹安全生产监督管理工作。</w:t>
      </w:r>
    </w:p>
    <w:p>
      <w:pPr>
        <w:spacing w:line="600" w:lineRule="exact"/>
        <w:ind w:firstLineChars="200" w:firstLine="640"/>
        <w:rPr>
          <w:rFonts w:ascii="仿宋_GB2312" w:eastAsia="仿宋_GB2312" w:cs="Times New Roman" w:hAnsi="Times New Roman"/>
          <w:sz w:val="32"/>
          <w:szCs w:val="32"/>
        </w:rPr>
      </w:pPr>
      <w:r>
        <w:rPr>
          <w:rFonts w:ascii="仿宋_GB2312" w:eastAsia="仿宋_GB2312" w:cs="Times New Roman" w:hAnsi="Times New Roman" w:hint="eastAsia"/>
          <w:sz w:val="32"/>
          <w:szCs w:val="32"/>
        </w:rPr>
        <w:t>（13）依法组织指导生产安全事故调查处理，监督事故查处和责任追究落实情况。组织开展自然灾害类突发事件的调查评估工作。</w:t>
      </w:r>
    </w:p>
    <w:p>
      <w:pPr>
        <w:spacing w:line="600" w:lineRule="exact"/>
        <w:ind w:firstLineChars="200" w:firstLine="640"/>
        <w:rPr>
          <w:rFonts w:ascii="仿宋_GB2312" w:eastAsia="仿宋_GB2312" w:cs="Times New Roman" w:hAnsi="Times New Roman"/>
          <w:sz w:val="32"/>
          <w:szCs w:val="32"/>
        </w:rPr>
      </w:pPr>
      <w:r>
        <w:rPr>
          <w:rFonts w:ascii="仿宋_GB2312" w:eastAsia="仿宋_GB2312" w:cs="Times New Roman" w:hAnsi="Times New Roman" w:hint="eastAsia"/>
          <w:sz w:val="32"/>
          <w:szCs w:val="32"/>
        </w:rPr>
        <w:t>（14）制定应急物资储备和应急救援装备规划并组织实施，会同县粮食和物资储备等</w:t>
      </w:r>
      <w:r>
        <w:rPr>
          <w:rFonts w:ascii="仿宋_GB2312" w:eastAsia="仿宋_GB2312" w:cs="Times New Roman" w:hAnsi="Times New Roman" w:hint="eastAsia"/>
          <w:sz w:val="32"/>
          <w:szCs w:val="32"/>
          <w:lang w:eastAsia="zh-CN"/>
        </w:rPr>
        <w:t>单位</w:t>
      </w:r>
      <w:r>
        <w:rPr>
          <w:rFonts w:ascii="仿宋_GB2312" w:eastAsia="仿宋_GB2312" w:cs="Times New Roman" w:hAnsi="Times New Roman" w:hint="eastAsia"/>
          <w:sz w:val="32"/>
          <w:szCs w:val="32"/>
        </w:rPr>
        <w:t>建立健全应急物资信息平台和调拨制度，在救灾时统一调度。</w:t>
      </w:r>
    </w:p>
    <w:p>
      <w:pPr>
        <w:spacing w:line="600" w:lineRule="exact"/>
        <w:ind w:firstLineChars="200" w:firstLine="640"/>
        <w:rPr>
          <w:rFonts w:ascii="仿宋_GB2312" w:eastAsia="仿宋_GB2312" w:cs="Times New Roman" w:hAnsi="Times New Roman"/>
          <w:sz w:val="32"/>
          <w:szCs w:val="32"/>
        </w:rPr>
      </w:pPr>
      <w:r>
        <w:rPr>
          <w:rFonts w:ascii="仿宋_GB2312" w:eastAsia="仿宋_GB2312" w:cs="Times New Roman" w:hAnsi="Times New Roman" w:hint="eastAsia"/>
          <w:sz w:val="32"/>
          <w:szCs w:val="32"/>
        </w:rPr>
        <w:t>（15）负责应急管理、安全生产宣传教育和培训工作，组织指导应急管理、安全生产的科学技术研究、推广应用和信息化建设工作。</w:t>
      </w:r>
    </w:p>
    <w:p>
      <w:pPr>
        <w:spacing w:line="600" w:lineRule="exact"/>
        <w:ind w:firstLineChars="200" w:firstLine="640"/>
        <w:rPr>
          <w:rFonts w:ascii="仿宋_GB2312" w:eastAsia="仿宋_GB2312" w:cs="Times New Roman" w:hAnsi="Times New Roman"/>
          <w:sz w:val="32"/>
          <w:szCs w:val="32"/>
        </w:rPr>
      </w:pPr>
      <w:r>
        <w:rPr>
          <w:rFonts w:ascii="仿宋_GB2312" w:eastAsia="仿宋_GB2312" w:cs="Times New Roman" w:hAnsi="Times New Roman" w:hint="eastAsia"/>
          <w:sz w:val="32"/>
          <w:szCs w:val="32"/>
        </w:rPr>
        <w:t>（16）负责组织指导协调和监督全县安全生产行政执法工作，组织开展对企业的执法检查，组织开展对安全生产重点企业的执法检查，负责全县抗震设防执法工作。</w:t>
      </w:r>
    </w:p>
    <w:p>
      <w:pPr>
        <w:spacing w:line="600" w:lineRule="exact"/>
        <w:ind w:firstLineChars="200" w:firstLine="640"/>
        <w:rPr>
          <w:rFonts w:ascii="仿宋_GB2312" w:eastAsia="仿宋_GB2312" w:cs="Times New Roman" w:hAnsi="Times New Roman"/>
          <w:sz w:val="32"/>
          <w:szCs w:val="32"/>
        </w:rPr>
      </w:pPr>
      <w:r>
        <w:rPr>
          <w:rFonts w:ascii="仿宋_GB2312" w:eastAsia="仿宋_GB2312" w:cs="Times New Roman" w:hAnsi="Times New Roman" w:hint="eastAsia"/>
          <w:sz w:val="32"/>
          <w:szCs w:val="32"/>
        </w:rPr>
        <w:t>（17）组织开展应急管理方面的对外交流与合作。</w:t>
      </w:r>
    </w:p>
    <w:p>
      <w:pPr>
        <w:spacing w:line="600" w:lineRule="exact"/>
        <w:ind w:firstLineChars="200" w:firstLine="640"/>
        <w:rPr>
          <w:rFonts w:ascii="仿宋_GB2312" w:eastAsia="仿宋_GB2312" w:cs="Times New Roman" w:hAnsi="Times New Roman"/>
          <w:sz w:val="32"/>
          <w:szCs w:val="32"/>
        </w:rPr>
      </w:pPr>
      <w:r>
        <w:rPr>
          <w:rFonts w:ascii="仿宋_GB2312" w:eastAsia="仿宋_GB2312" w:cs="Times New Roman" w:hAnsi="Times New Roman" w:hint="eastAsia"/>
          <w:sz w:val="32"/>
          <w:szCs w:val="32"/>
        </w:rPr>
        <w:t>（18）完成县委、县政府交办的其他任务。</w:t>
      </w:r>
    </w:p>
    <w:p>
      <w:pPr>
        <w:spacing w:line="584" w:lineRule="exact"/>
        <w:rPr>
          <w:rFonts w:ascii="Times New Roman" w:eastAsia="仿宋_GB2312" w:cs="Times New Roman" w:hAnsi="Times New Roman"/>
          <w:sz w:val="32"/>
          <w:szCs w:val="32"/>
        </w:rPr>
      </w:pPr>
    </w:p>
    <w:p>
      <w:pPr>
        <w:autoSpaceDE w:val="0"/>
        <w:autoSpaceDN w:val="0"/>
        <w:adjustRightInd w:val="0"/>
        <w:spacing w:line="584" w:lineRule="exact"/>
        <w:ind w:firstLineChars="196" w:firstLine="627"/>
        <w:jc w:val="left"/>
        <w:rPr>
          <w:rFonts w:ascii="Times New Roman" w:eastAsia="楷体_GB2312" w:cs="Times New Roman" w:hAnsi="Times New Roman"/>
          <w:b/>
          <w:sz w:val="32"/>
          <w:szCs w:val="32"/>
        </w:rPr>
      </w:pPr>
      <w:r>
        <w:rPr>
          <w:rFonts w:ascii="Times New Roman" w:eastAsia="楷体_GB2312" w:cs="Times New Roman" w:hAnsi="Times New Roman"/>
          <w:b/>
          <w:sz w:val="32"/>
          <w:szCs w:val="32"/>
        </w:rPr>
        <w:t>机构设置：</w:t>
      </w:r>
    </w:p>
    <w:p>
      <w:pPr>
        <w:spacing w:line="584" w:lineRule="exact"/>
        <w:jc w:val="center"/>
        <w:outlineLvl w:val="0"/>
        <w:rPr>
          <w:rFonts w:ascii="Times New Roman" w:eastAsia="仿宋_GB2312" w:cs="Times New Roman" w:hAnsi="Times New Roman"/>
          <w:b/>
          <w:sz w:val="32"/>
          <w:szCs w:val="24"/>
        </w:rPr>
      </w:pPr>
      <w:r>
        <w:rPr>
          <w:rFonts w:ascii="Times New Roman" w:eastAsia="仿宋_GB2312" w:cs="Times New Roman" w:hAnsi="Times New Roman" w:hint="eastAsia"/>
          <w:b/>
          <w:sz w:val="32"/>
          <w:szCs w:val="24"/>
          <w:lang w:eastAsia="zh-CN"/>
        </w:rPr>
        <w:t>单位</w:t>
      </w:r>
      <w:r>
        <w:rPr>
          <w:rFonts w:ascii="Times New Roman" w:eastAsia="仿宋_GB2312" w:cs="Times New Roman" w:hAnsi="Times New Roman"/>
          <w:b/>
          <w:sz w:val="32"/>
          <w:szCs w:val="24"/>
        </w:rPr>
        <w:t>机构设置情况</w:t>
      </w:r>
    </w:p>
    <w:tbl>
      <w:tblPr>
        <w:jc w:val="center"/>
        <w:tblW w:w="97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4443"/>
        <w:gridCol w:w="1134"/>
        <w:gridCol w:w="1276"/>
        <w:gridCol w:w="2902"/>
      </w:tblGrid>
      <w:tr>
        <w:trPr>
          <w:trHeight w:val="584"/>
          <w:tblHeader/>
        </w:trPr>
        <w:tc>
          <w:tcPr>
            <w:tcW w:w="4443" w:type="dxa"/>
            <w:vMerge w:val="restart"/>
            <w:shd w:val="clear" w:color="auto" w:fill="auto"/>
            <w:vAlign w:val="center"/>
          </w:tcPr>
          <w:p>
            <w:pPr>
              <w:spacing w:line="584" w:lineRule="exact"/>
              <w:jc w:val="center"/>
              <w:rPr>
                <w:rFonts w:ascii="Times New Roman" w:eastAsia="仿宋_GB2312" w:cs="Times New Roman" w:hAnsi="Times New Roman"/>
                <w:b/>
                <w:szCs w:val="24"/>
              </w:rPr>
            </w:pPr>
            <w:r>
              <w:rPr>
                <w:rFonts w:ascii="Times New Roman" w:eastAsia="仿宋_GB2312" w:cs="Times New Roman" w:hAnsi="Times New Roman"/>
                <w:b/>
                <w:szCs w:val="24"/>
              </w:rPr>
              <w:t>单位名称</w:t>
            </w:r>
          </w:p>
        </w:tc>
        <w:tc>
          <w:tcPr>
            <w:tcW w:w="1134" w:type="dxa"/>
            <w:vMerge w:val="restart"/>
            <w:shd w:val="clear" w:color="auto" w:fill="auto"/>
            <w:vAlign w:val="center"/>
          </w:tcPr>
          <w:p>
            <w:pPr>
              <w:spacing w:line="584" w:lineRule="exact"/>
              <w:jc w:val="center"/>
              <w:rPr>
                <w:rFonts w:ascii="Times New Roman" w:eastAsia="仿宋_GB2312" w:cs="Times New Roman" w:hAnsi="Times New Roman"/>
                <w:b/>
                <w:szCs w:val="24"/>
              </w:rPr>
            </w:pPr>
            <w:r>
              <w:rPr>
                <w:rFonts w:ascii="Times New Roman" w:eastAsia="仿宋_GB2312" w:cs="Times New Roman" w:hAnsi="Times New Roman"/>
                <w:b/>
                <w:szCs w:val="24"/>
              </w:rPr>
              <w:t>单位性质</w:t>
            </w:r>
          </w:p>
        </w:tc>
        <w:tc>
          <w:tcPr>
            <w:tcW w:w="1276" w:type="dxa"/>
            <w:vMerge w:val="restart"/>
            <w:shd w:val="clear" w:color="auto" w:fill="auto"/>
            <w:vAlign w:val="center"/>
          </w:tcPr>
          <w:p>
            <w:pPr>
              <w:spacing w:line="584" w:lineRule="exact"/>
              <w:jc w:val="center"/>
              <w:rPr>
                <w:rFonts w:ascii="Times New Roman" w:eastAsia="仿宋_GB2312" w:cs="Times New Roman" w:hAnsi="Times New Roman"/>
                <w:b/>
                <w:szCs w:val="24"/>
              </w:rPr>
            </w:pPr>
            <w:r>
              <w:rPr>
                <w:rFonts w:ascii="Times New Roman" w:eastAsia="仿宋_GB2312" w:cs="Times New Roman" w:hAnsi="Times New Roman"/>
                <w:b/>
                <w:szCs w:val="24"/>
              </w:rPr>
              <w:t>单位规格</w:t>
            </w:r>
          </w:p>
        </w:tc>
        <w:tc>
          <w:tcPr>
            <w:tcW w:w="2902" w:type="dxa"/>
            <w:vMerge w:val="restart"/>
            <w:shd w:val="clear" w:color="auto" w:fill="auto"/>
            <w:vAlign w:val="center"/>
          </w:tcPr>
          <w:p>
            <w:pPr>
              <w:spacing w:line="584" w:lineRule="exact"/>
              <w:jc w:val="center"/>
              <w:rPr>
                <w:rFonts w:ascii="Times New Roman" w:eastAsia="仿宋_GB2312" w:cs="Times New Roman" w:hAnsi="Times New Roman"/>
                <w:b/>
                <w:szCs w:val="24"/>
              </w:rPr>
            </w:pPr>
            <w:r>
              <w:rPr>
                <w:rFonts w:ascii="Times New Roman" w:eastAsia="仿宋_GB2312" w:cs="Times New Roman" w:hAnsi="Times New Roman"/>
                <w:b/>
                <w:szCs w:val="24"/>
              </w:rPr>
              <w:t>经费保障形式</w:t>
            </w:r>
          </w:p>
        </w:tc>
      </w:tr>
      <w:tr>
        <w:trPr>
          <w:trHeight w:val="584"/>
          <w:tblHeader/>
        </w:trPr>
        <w:tc>
          <w:tcPr>
            <w:tcW w:w="4443" w:type="dxa"/>
            <w:vMerge/>
            <w:shd w:val="clear" w:color="auto" w:fill="auto"/>
            <w:vAlign w:val="center"/>
          </w:tcPr>
          <w:p/>
        </w:tc>
        <w:tc>
          <w:tcPr>
            <w:tcW w:w="1134" w:type="dxa"/>
            <w:vMerge/>
            <w:tcBorders>
              <w:left w:val="single" w:sz="6" w:space="0" w:color="000000"/>
            </w:tcBorders>
            <w:shd w:val="clear" w:color="auto" w:fill="auto"/>
            <w:vAlign w:val="center"/>
          </w:tcPr>
          <w:p/>
        </w:tc>
        <w:tc>
          <w:tcPr>
            <w:tcW w:w="1276" w:type="dxa"/>
            <w:vMerge/>
            <w:tcBorders>
              <w:left w:val="single" w:sz="6" w:space="0" w:color="000000"/>
            </w:tcBorders>
            <w:shd w:val="clear" w:color="auto" w:fill="auto"/>
            <w:vAlign w:val="center"/>
          </w:tcPr>
          <w:p/>
        </w:tc>
        <w:tc>
          <w:tcPr>
            <w:tcW w:w="2902" w:type="dxa"/>
            <w:vMerge/>
            <w:tcBorders>
              <w:left w:val="single" w:sz="6" w:space="0" w:color="000000"/>
            </w:tcBorders>
            <w:shd w:val="clear" w:color="auto" w:fill="auto"/>
            <w:vAlign w:val="center"/>
          </w:tcPr>
          <w:p/>
        </w:tc>
      </w:tr>
      <w:tr>
        <w:trPr>
          <w:trHeight w:val="227"/>
        </w:trPr>
        <w:tc>
          <w:tcPr>
            <w:tcW w:w="4443" w:type="dxa"/>
            <w:shd w:val="clear" w:color="auto" w:fill="auto"/>
            <w:vAlign w:val="center"/>
          </w:tcPr>
          <w:p>
            <w:pPr>
              <w:spacing w:line="584" w:lineRule="exact"/>
              <w:jc w:val="center"/>
              <w:rPr>
                <w:rFonts w:ascii="Times New Roman" w:eastAsia="仿宋_GB2312" w:cs="Times New Roman" w:hAnsi="Times New Roman"/>
                <w:b/>
              </w:rPr>
            </w:pPr>
            <w:r>
              <w:rPr>
                <w:rFonts w:ascii="Times New Roman" w:eastAsia="仿宋_GB2312" w:cs="Times New Roman" w:hAnsi="Times New Roman" w:hint="eastAsia"/>
                <w:b/>
              </w:rPr>
              <w:t>永清县应急管理局</w:t>
            </w:r>
          </w:p>
        </w:tc>
        <w:tc>
          <w:tcPr>
            <w:tcW w:w="1134" w:type="dxa"/>
            <w:tcBorders>
              <w:left w:val="single" w:sz="6" w:space="0" w:color="000000"/>
            </w:tcBorders>
            <w:shd w:val="clear" w:color="auto" w:fill="auto"/>
            <w:vAlign w:val="center"/>
          </w:tcPr>
          <w:p>
            <w:pPr>
              <w:spacing w:line="584" w:lineRule="exact"/>
              <w:jc w:val="center"/>
              <w:rPr>
                <w:rFonts w:ascii="Times New Roman" w:eastAsia="仿宋_GB2312" w:cs="Times New Roman" w:hAnsi="Times New Roman"/>
                <w:b/>
              </w:rPr>
            </w:pPr>
            <w:r>
              <w:rPr>
                <w:rFonts w:ascii="Times New Roman" w:eastAsia="仿宋_GB2312" w:cs="Times New Roman" w:hAnsi="Times New Roman" w:hint="eastAsia"/>
                <w:b/>
              </w:rPr>
              <w:t>行政</w:t>
            </w:r>
          </w:p>
        </w:tc>
        <w:tc>
          <w:tcPr>
            <w:tcW w:w="1276" w:type="dxa"/>
            <w:tcBorders>
              <w:left w:val="single" w:sz="6" w:space="0" w:color="000000"/>
            </w:tcBorders>
            <w:shd w:val="clear" w:color="auto" w:fill="auto"/>
            <w:vAlign w:val="center"/>
          </w:tcPr>
          <w:p>
            <w:pPr>
              <w:spacing w:line="584" w:lineRule="exact"/>
              <w:jc w:val="center"/>
              <w:rPr>
                <w:rFonts w:ascii="Times New Roman" w:eastAsia="仿宋_GB2312" w:cs="Times New Roman" w:hAnsi="Times New Roman"/>
                <w:b/>
              </w:rPr>
            </w:pPr>
            <w:r>
              <w:rPr>
                <w:rFonts w:ascii="Times New Roman" w:eastAsia="仿宋_GB2312" w:cs="Times New Roman" w:hAnsi="Times New Roman" w:hint="eastAsia"/>
                <w:b/>
              </w:rPr>
              <w:t>正科级</w:t>
            </w:r>
          </w:p>
        </w:tc>
        <w:tc>
          <w:tcPr>
            <w:tcW w:w="2902" w:type="dxa"/>
            <w:tcBorders>
              <w:left w:val="single" w:sz="6" w:space="0" w:color="000000"/>
            </w:tcBorders>
            <w:shd w:val="clear" w:color="auto" w:fill="auto"/>
            <w:vAlign w:val="center"/>
          </w:tcPr>
          <w:p>
            <w:pPr>
              <w:spacing w:line="584" w:lineRule="exact"/>
              <w:jc w:val="center"/>
              <w:rPr>
                <w:rFonts w:ascii="Times New Roman" w:eastAsia="仿宋_GB2312" w:cs="Times New Roman" w:hAnsi="Times New Roman"/>
                <w:b/>
              </w:rPr>
            </w:pPr>
            <w:r>
              <w:rPr>
                <w:rFonts w:ascii="Times New Roman" w:eastAsia="仿宋_GB2312" w:cs="Times New Roman" w:hAnsi="Times New Roman" w:hint="eastAsia"/>
                <w:b/>
              </w:rPr>
              <w:t>财政拨款(行政)</w:t>
            </w:r>
          </w:p>
        </w:tc>
      </w:tr>
    </w:tbl>
    <w:p>
      <w:pPr>
        <w:spacing w:line="584" w:lineRule="exact"/>
        <w:ind w:firstLineChars="200" w:firstLine="640"/>
        <w:rPr>
          <w:rFonts w:ascii="Times New Roman" w:eastAsia="黑体" w:cs="Times New Roman" w:hAnsi="Times New Roman"/>
          <w:sz w:val="32"/>
          <w:szCs w:val="32"/>
        </w:rPr>
      </w:pPr>
      <w:r>
        <w:rPr>
          <w:rFonts w:ascii="Times New Roman" w:eastAsia="黑体" w:cs="Times New Roman" w:hAnsi="Times New Roman"/>
          <w:sz w:val="32"/>
          <w:szCs w:val="32"/>
        </w:rPr>
        <w:t>二、</w:t>
      </w:r>
      <w:r>
        <w:rPr>
          <w:rFonts w:ascii="Times New Roman" w:eastAsia="黑体" w:cs="Times New Roman" w:hAnsi="Times New Roman" w:hint="eastAsia"/>
          <w:sz w:val="32"/>
          <w:szCs w:val="32"/>
          <w:lang w:eastAsia="zh-CN"/>
        </w:rPr>
        <w:t>单位</w:t>
      </w:r>
      <w:r>
        <w:rPr>
          <w:rFonts w:ascii="Times New Roman" w:eastAsia="黑体" w:cs="Times New Roman" w:hAnsi="Times New Roman"/>
          <w:sz w:val="32"/>
          <w:szCs w:val="32"/>
        </w:rPr>
        <w:t>预算安排的总体情况</w:t>
      </w:r>
    </w:p>
    <w:p>
      <w:pPr>
        <w:spacing w:line="584" w:lineRule="exact"/>
        <w:ind w:firstLineChars="200" w:firstLine="640"/>
        <w:rPr>
          <w:rFonts w:ascii="Times New Roman" w:eastAsia="仿宋_GB2312" w:cs="Times New Roman" w:hAnsi="Times New Roman"/>
          <w:sz w:val="32"/>
          <w:szCs w:val="32"/>
        </w:rPr>
      </w:pPr>
      <w:r>
        <w:rPr>
          <w:rFonts w:ascii="Times New Roman" w:eastAsia="仿宋_GB2312" w:cs="Times New Roman" w:hAnsi="Times New Roman"/>
          <w:sz w:val="32"/>
          <w:szCs w:val="32"/>
        </w:rPr>
        <w:t>按照预算管理有关规定，目前我县</w:t>
      </w:r>
      <w:r>
        <w:rPr>
          <w:rFonts w:ascii="Times New Roman" w:eastAsia="仿宋_GB2312" w:cs="Times New Roman" w:hAnsi="Times New Roman" w:hint="eastAsia"/>
          <w:sz w:val="32"/>
          <w:szCs w:val="32"/>
          <w:lang w:eastAsia="zh-CN"/>
        </w:rPr>
        <w:t>单位</w:t>
      </w:r>
      <w:r>
        <w:rPr>
          <w:rFonts w:ascii="Times New Roman" w:eastAsia="仿宋_GB2312" w:cs="Times New Roman" w:hAnsi="Times New Roman"/>
          <w:sz w:val="32"/>
          <w:szCs w:val="32"/>
        </w:rPr>
        <w:t>预算的编制实行综合预算制度，即全部收入和支出都反映在预算中。永清县</w:t>
      </w:r>
      <w:r>
        <w:rPr>
          <w:rFonts w:ascii="Times New Roman" w:eastAsia="仿宋_GB2312" w:cs="Times New Roman" w:hAnsi="Times New Roman" w:hint="eastAsia"/>
          <w:sz w:val="32"/>
          <w:szCs w:val="32"/>
        </w:rPr>
        <w:t>应急管理局</w:t>
      </w:r>
      <w:r>
        <w:rPr>
          <w:rFonts w:ascii="Times New Roman" w:eastAsia="仿宋_GB2312" w:cs="Times New Roman" w:hAnsi="Times New Roman"/>
          <w:sz w:val="32"/>
          <w:szCs w:val="32"/>
        </w:rPr>
        <w:t>机关的收支包含在</w:t>
      </w:r>
      <w:r>
        <w:rPr>
          <w:rFonts w:ascii="Times New Roman" w:eastAsia="仿宋_GB2312" w:cs="Times New Roman" w:hAnsi="Times New Roman" w:hint="eastAsia"/>
          <w:sz w:val="32"/>
          <w:szCs w:val="32"/>
          <w:lang w:eastAsia="zh-CN"/>
        </w:rPr>
        <w:t>单位</w:t>
      </w:r>
      <w:r>
        <w:rPr>
          <w:rFonts w:ascii="Times New Roman" w:eastAsia="仿宋_GB2312" w:cs="Times New Roman" w:hAnsi="Times New Roman"/>
          <w:sz w:val="32"/>
          <w:szCs w:val="32"/>
        </w:rPr>
        <w:t>预算中。</w:t>
      </w:r>
    </w:p>
    <w:p>
      <w:pPr>
        <w:spacing w:line="584" w:lineRule="exact"/>
        <w:ind w:firstLine="640"/>
        <w:rPr>
          <w:rFonts w:ascii="Times New Roman" w:eastAsia="仿宋_GB2312" w:cs="Times New Roman" w:hAnsi="Times New Roman"/>
          <w:b/>
          <w:sz w:val="32"/>
          <w:szCs w:val="32"/>
        </w:rPr>
      </w:pPr>
      <w:r>
        <w:rPr>
          <w:rFonts w:ascii="Times New Roman" w:eastAsia="仿宋_GB2312" w:cs="Times New Roman" w:hAnsi="Times New Roman"/>
          <w:b/>
          <w:sz w:val="32"/>
          <w:szCs w:val="32"/>
        </w:rPr>
        <w:t>1、收入说明</w:t>
      </w:r>
    </w:p>
    <w:p>
      <w:pPr>
        <w:spacing w:line="584" w:lineRule="exact"/>
        <w:ind w:firstLine="640"/>
        <w:rPr>
          <w:rFonts w:ascii="Times New Roman" w:eastAsia="仿宋_GB2312" w:cs="Times New Roman" w:hAnsi="Times New Roman"/>
          <w:sz w:val="32"/>
          <w:szCs w:val="32"/>
        </w:rPr>
      </w:pPr>
      <w:r>
        <w:rPr>
          <w:rFonts w:ascii="Times New Roman" w:eastAsia="仿宋_GB2312" w:cs="Times New Roman" w:hAnsi="Times New Roman"/>
          <w:sz w:val="32"/>
          <w:szCs w:val="32"/>
        </w:rPr>
        <w:t>反映本</w:t>
      </w:r>
      <w:r>
        <w:rPr>
          <w:rFonts w:ascii="Times New Roman" w:eastAsia="仿宋_GB2312" w:cs="Times New Roman" w:hAnsi="Times New Roman" w:hint="eastAsia"/>
          <w:sz w:val="32"/>
          <w:szCs w:val="32"/>
          <w:lang w:eastAsia="zh-CN"/>
        </w:rPr>
        <w:t>单位</w:t>
      </w:r>
      <w:r>
        <w:rPr>
          <w:rFonts w:ascii="Times New Roman" w:eastAsia="仿宋_GB2312" w:cs="Times New Roman" w:hAnsi="Times New Roman"/>
          <w:sz w:val="32"/>
          <w:szCs w:val="32"/>
        </w:rPr>
        <w:t>当年全部收入。20</w:t>
      </w:r>
      <w:r>
        <w:rPr>
          <w:rFonts w:ascii="Times New Roman" w:eastAsia="仿宋_GB2312" w:cs="Times New Roman" w:hAnsi="Times New Roman" w:hint="eastAsia"/>
          <w:sz w:val="32"/>
          <w:szCs w:val="32"/>
        </w:rPr>
        <w:t>2</w:t>
      </w:r>
      <w:r>
        <w:rPr>
          <w:rFonts w:ascii="Times New Roman" w:eastAsia="仿宋_GB2312" w:cs="Times New Roman" w:hAnsi="Times New Roman" w:hint="eastAsia"/>
          <w:sz w:val="32"/>
          <w:szCs w:val="32"/>
          <w:lang w:val="en-US" w:eastAsia="zh-CN"/>
        </w:rPr>
        <w:t>2</w:t>
      </w:r>
      <w:r>
        <w:rPr>
          <w:rFonts w:ascii="Times New Roman" w:eastAsia="仿宋_GB2312" w:cs="Times New Roman" w:hAnsi="Times New Roman"/>
          <w:sz w:val="32"/>
          <w:szCs w:val="32"/>
        </w:rPr>
        <w:t>年预算收入</w:t>
      </w:r>
      <w:r>
        <w:rPr>
          <w:rFonts w:ascii="Times New Roman" w:eastAsia="仿宋_GB2312" w:cs="Times New Roman" w:hAnsi="Times New Roman" w:hint="eastAsia"/>
          <w:sz w:val="32"/>
          <w:szCs w:val="32"/>
          <w:lang w:val="en-US" w:eastAsia="zh-CN"/>
        </w:rPr>
        <w:t>928.92</w:t>
      </w:r>
      <w:r>
        <w:rPr>
          <w:rFonts w:ascii="Times New Roman" w:eastAsia="仿宋_GB2312" w:cs="Times New Roman" w:hAnsi="Times New Roman"/>
          <w:sz w:val="32"/>
          <w:szCs w:val="32"/>
        </w:rPr>
        <w:t>万元，其中：一般公共预算收入</w:t>
      </w:r>
      <w:r>
        <w:rPr>
          <w:rFonts w:ascii="Times New Roman" w:eastAsia="仿宋_GB2312" w:cs="Times New Roman" w:hAnsi="Times New Roman" w:hint="eastAsia"/>
          <w:sz w:val="32"/>
          <w:szCs w:val="32"/>
          <w:lang w:val="en-US" w:eastAsia="zh-CN"/>
        </w:rPr>
        <w:t>904.25</w:t>
      </w:r>
      <w:r>
        <w:rPr>
          <w:rFonts w:ascii="Times New Roman" w:eastAsia="仿宋_GB2312" w:cs="Times New Roman" w:hAnsi="Times New Roman"/>
          <w:sz w:val="32"/>
          <w:szCs w:val="32"/>
        </w:rPr>
        <w:t>万元，基金预算收入</w:t>
      </w:r>
      <w:r>
        <w:rPr>
          <w:rFonts w:ascii="Times New Roman" w:eastAsia="仿宋_GB2312" w:cs="Times New Roman" w:hAnsi="Times New Roman" w:hint="eastAsia"/>
          <w:sz w:val="32"/>
          <w:szCs w:val="32"/>
        </w:rPr>
        <w:t>0</w:t>
      </w:r>
      <w:r>
        <w:rPr>
          <w:rFonts w:ascii="Times New Roman" w:eastAsia="仿宋_GB2312" w:cs="Times New Roman" w:hAnsi="Times New Roman"/>
          <w:sz w:val="32"/>
          <w:szCs w:val="32"/>
        </w:rPr>
        <w:t>万元，财政专户核拨收入</w:t>
      </w:r>
      <w:r>
        <w:rPr>
          <w:rFonts w:ascii="Times New Roman" w:eastAsia="仿宋_GB2312" w:cs="Times New Roman" w:hAnsi="Times New Roman" w:hint="eastAsia"/>
          <w:sz w:val="32"/>
          <w:szCs w:val="32"/>
        </w:rPr>
        <w:t>0</w:t>
      </w:r>
      <w:r>
        <w:rPr>
          <w:rFonts w:ascii="Times New Roman" w:eastAsia="仿宋_GB2312" w:cs="Times New Roman" w:hAnsi="Times New Roman"/>
          <w:sz w:val="32"/>
          <w:szCs w:val="32"/>
        </w:rPr>
        <w:t>万元，其他来源收入</w:t>
      </w:r>
      <w:r>
        <w:rPr>
          <w:rFonts w:ascii="Times New Roman" w:eastAsia="仿宋_GB2312" w:cs="Times New Roman" w:hAnsi="Times New Roman" w:hint="eastAsia"/>
          <w:sz w:val="32"/>
          <w:szCs w:val="32"/>
        </w:rPr>
        <w:t>0</w:t>
      </w:r>
      <w:r>
        <w:rPr>
          <w:rFonts w:ascii="Times New Roman" w:eastAsia="仿宋_GB2312" w:cs="Times New Roman" w:hAnsi="Times New Roman"/>
          <w:sz w:val="32"/>
          <w:szCs w:val="32"/>
        </w:rPr>
        <w:t>万元</w:t>
      </w:r>
      <w:r>
        <w:rPr>
          <w:rFonts w:ascii="Times New Roman" w:eastAsia="仿宋_GB2312" w:cs="Times New Roman" w:hAnsi="Times New Roman" w:hint="eastAsia"/>
          <w:sz w:val="32"/>
          <w:szCs w:val="32"/>
        </w:rPr>
        <w:t>，</w:t>
      </w:r>
      <w:r>
        <w:rPr>
          <w:rFonts w:ascii="Times New Roman" w:eastAsia="仿宋_GB2312" w:cs="Times New Roman" w:hAnsi="Times New Roman"/>
          <w:sz w:val="32"/>
          <w:szCs w:val="32"/>
        </w:rPr>
        <w:t>上年结转</w:t>
      </w:r>
      <w:r>
        <w:rPr>
          <w:rFonts w:ascii="Times New Roman" w:eastAsia="仿宋_GB2312" w:cs="Times New Roman" w:hAnsi="Times New Roman" w:hint="eastAsia"/>
          <w:sz w:val="32"/>
          <w:szCs w:val="32"/>
          <w:lang w:val="en-US" w:eastAsia="zh-CN"/>
        </w:rPr>
        <w:t>24.67</w:t>
      </w:r>
      <w:r>
        <w:rPr>
          <w:rFonts w:ascii="Times New Roman" w:eastAsia="仿宋_GB2312" w:cs="Times New Roman" w:hAnsi="Times New Roman" w:hint="eastAsia"/>
          <w:sz w:val="32"/>
          <w:szCs w:val="32"/>
        </w:rPr>
        <w:t>万元</w:t>
      </w:r>
      <w:r>
        <w:rPr>
          <w:rFonts w:ascii="Times New Roman" w:eastAsia="仿宋_GB2312" w:cs="Times New Roman" w:hAnsi="Times New Roman"/>
          <w:sz w:val="32"/>
          <w:szCs w:val="32"/>
        </w:rPr>
        <w:t>。</w:t>
      </w:r>
    </w:p>
    <w:p>
      <w:pPr>
        <w:spacing w:line="584" w:lineRule="exact"/>
        <w:ind w:firstLine="640"/>
        <w:rPr>
          <w:rFonts w:ascii="Times New Roman" w:eastAsia="仿宋_GB2312" w:cs="Times New Roman" w:hAnsi="Times New Roman"/>
          <w:b/>
          <w:sz w:val="32"/>
          <w:szCs w:val="32"/>
        </w:rPr>
      </w:pPr>
      <w:r>
        <w:rPr>
          <w:rFonts w:ascii="Times New Roman" w:eastAsia="仿宋_GB2312" w:cs="Times New Roman" w:hAnsi="Times New Roman"/>
          <w:b/>
          <w:sz w:val="32"/>
          <w:szCs w:val="32"/>
        </w:rPr>
        <w:t>2、支出说明</w:t>
      </w:r>
    </w:p>
    <w:p>
      <w:pPr>
        <w:spacing w:line="584" w:lineRule="exact"/>
        <w:ind w:firstLine="640"/>
        <w:rPr>
          <w:rFonts w:ascii="Times New Roman" w:eastAsia="仿宋_GB2312" w:cs="Times New Roman" w:hAnsi="Times New Roman"/>
          <w:sz w:val="32"/>
          <w:szCs w:val="32"/>
        </w:rPr>
      </w:pPr>
      <w:r>
        <w:rPr>
          <w:rFonts w:ascii="Times New Roman" w:eastAsia="仿宋_GB2312" w:cs="Times New Roman" w:hAnsi="Times New Roman"/>
          <w:sz w:val="32"/>
          <w:szCs w:val="32"/>
        </w:rPr>
        <w:t>收支预算总表支出栏、基本支出表、项目支出表按经济分类和支出功能分类科目编制，反映永清县</w:t>
      </w:r>
      <w:r>
        <w:rPr>
          <w:rFonts w:ascii="Times New Roman" w:eastAsia="仿宋_GB2312" w:cs="Times New Roman" w:hAnsi="Times New Roman" w:hint="eastAsia"/>
          <w:sz w:val="32"/>
          <w:szCs w:val="32"/>
        </w:rPr>
        <w:t>应急管理局</w:t>
      </w:r>
      <w:r>
        <w:rPr>
          <w:rFonts w:ascii="Times New Roman" w:eastAsia="仿宋_GB2312" w:cs="Times New Roman" w:hAnsi="Times New Roman"/>
          <w:sz w:val="32"/>
          <w:szCs w:val="32"/>
        </w:rPr>
        <w:t>年度</w:t>
      </w:r>
      <w:r>
        <w:rPr>
          <w:rFonts w:ascii="Times New Roman" w:eastAsia="仿宋_GB2312" w:cs="Times New Roman" w:hAnsi="Times New Roman" w:hint="eastAsia"/>
          <w:sz w:val="32"/>
          <w:szCs w:val="32"/>
          <w:lang w:eastAsia="zh-CN"/>
        </w:rPr>
        <w:t>单位</w:t>
      </w:r>
      <w:r>
        <w:rPr>
          <w:rFonts w:ascii="Times New Roman" w:eastAsia="仿宋_GB2312" w:cs="Times New Roman" w:hAnsi="Times New Roman"/>
          <w:sz w:val="32"/>
          <w:szCs w:val="32"/>
        </w:rPr>
        <w:t>预算中支出预算的总体情况。20</w:t>
      </w:r>
      <w:r>
        <w:rPr>
          <w:rFonts w:ascii="Times New Roman" w:eastAsia="仿宋_GB2312" w:cs="Times New Roman" w:hAnsi="Times New Roman" w:hint="eastAsia"/>
          <w:sz w:val="32"/>
          <w:szCs w:val="32"/>
        </w:rPr>
        <w:t>2</w:t>
      </w:r>
      <w:r>
        <w:rPr>
          <w:rFonts w:ascii="Times New Roman" w:eastAsia="仿宋_GB2312" w:cs="Times New Roman" w:hAnsi="Times New Roman" w:hint="eastAsia"/>
          <w:sz w:val="32"/>
          <w:szCs w:val="32"/>
          <w:lang w:val="en-US" w:eastAsia="zh-CN"/>
        </w:rPr>
        <w:t>2</w:t>
      </w:r>
      <w:r>
        <w:rPr>
          <w:rFonts w:ascii="Times New Roman" w:eastAsia="仿宋_GB2312" w:cs="Times New Roman" w:hAnsi="Times New Roman"/>
          <w:sz w:val="32"/>
          <w:szCs w:val="32"/>
        </w:rPr>
        <w:t>年支出预算</w:t>
      </w:r>
      <w:r>
        <w:rPr>
          <w:rFonts w:ascii="Times New Roman" w:eastAsia="仿宋_GB2312" w:cs="Times New Roman" w:hAnsi="Times New Roman" w:hint="eastAsia"/>
          <w:sz w:val="32"/>
          <w:szCs w:val="32"/>
          <w:lang w:val="en-US" w:eastAsia="zh-CN"/>
        </w:rPr>
        <w:t>928.92</w:t>
      </w:r>
      <w:r>
        <w:rPr>
          <w:rFonts w:ascii="Times New Roman" w:eastAsia="仿宋_GB2312" w:cs="Times New Roman" w:hAnsi="Times New Roman"/>
          <w:sz w:val="32"/>
          <w:szCs w:val="32"/>
        </w:rPr>
        <w:t>万元，其中基本支出</w:t>
      </w:r>
      <w:r>
        <w:rPr>
          <w:rFonts w:ascii="Times New Roman" w:eastAsia="仿宋_GB2312" w:cs="Times New Roman" w:hAnsi="Times New Roman" w:hint="eastAsia"/>
          <w:sz w:val="32"/>
          <w:szCs w:val="32"/>
          <w:lang w:val="en-US" w:eastAsia="zh-CN"/>
        </w:rPr>
        <w:t>675.2</w:t>
      </w:r>
      <w:r>
        <w:rPr>
          <w:rFonts w:ascii="Times New Roman" w:eastAsia="仿宋_GB2312" w:cs="Times New Roman" w:hAnsi="Times New Roman"/>
          <w:sz w:val="32"/>
          <w:szCs w:val="32"/>
        </w:rPr>
        <w:t>万元，包括人员类项目经费</w:t>
      </w:r>
      <w:r>
        <w:rPr>
          <w:rFonts w:ascii="Times New Roman" w:eastAsia="仿宋_GB2312" w:cs="Times New Roman" w:hAnsi="Times New Roman" w:hint="eastAsia"/>
          <w:color w:val="auto"/>
          <w:sz w:val="32"/>
          <w:szCs w:val="32"/>
          <w:lang w:val="en-US" w:eastAsia="zh-CN"/>
        </w:rPr>
        <w:t>608.3</w:t>
      </w:r>
      <w:r>
        <w:rPr>
          <w:rFonts w:ascii="Times New Roman" w:eastAsia="仿宋_GB2312" w:cs="Times New Roman" w:hAnsi="Times New Roman"/>
          <w:sz w:val="32"/>
          <w:szCs w:val="32"/>
        </w:rPr>
        <w:t>万元和</w:t>
      </w:r>
      <w:r>
        <w:rPr>
          <w:rFonts w:ascii="Times New Roman" w:eastAsia="仿宋_GB2312" w:cs="Times New Roman" w:hAnsi="Times New Roman" w:hint="eastAsia"/>
          <w:sz w:val="32"/>
          <w:szCs w:val="32"/>
        </w:rPr>
        <w:t>运转类</w:t>
      </w:r>
      <w:r>
        <w:rPr>
          <w:rFonts w:ascii="Times New Roman" w:eastAsia="仿宋_GB2312" w:cs="Times New Roman" w:hAnsi="Times New Roman"/>
          <w:sz w:val="32"/>
          <w:szCs w:val="32"/>
        </w:rPr>
        <w:t>公用项目经费</w:t>
      </w:r>
      <w:r>
        <w:rPr>
          <w:rFonts w:ascii="Times New Roman" w:eastAsia="仿宋_GB2312" w:cs="Times New Roman" w:hAnsi="Times New Roman" w:hint="eastAsia"/>
          <w:color w:val="auto"/>
          <w:sz w:val="32"/>
          <w:szCs w:val="32"/>
          <w:lang w:val="en-US" w:eastAsia="zh-CN"/>
        </w:rPr>
        <w:t>66.9</w:t>
      </w:r>
      <w:r>
        <w:rPr>
          <w:rFonts w:ascii="Times New Roman" w:eastAsia="仿宋_GB2312" w:cs="Times New Roman" w:hAnsi="Times New Roman"/>
          <w:sz w:val="32"/>
          <w:szCs w:val="32"/>
        </w:rPr>
        <w:t>万元；运转类其他及特定目标类项目支出</w:t>
      </w:r>
      <w:r>
        <w:rPr>
          <w:rFonts w:ascii="Times New Roman" w:eastAsia="仿宋_GB2312" w:cs="Times New Roman" w:hAnsi="Times New Roman" w:hint="eastAsia"/>
          <w:sz w:val="32"/>
          <w:szCs w:val="32"/>
          <w:lang w:val="en-US" w:eastAsia="zh-CN"/>
        </w:rPr>
        <w:t>253.72</w:t>
      </w:r>
      <w:r>
        <w:rPr>
          <w:rFonts w:ascii="Times New Roman" w:eastAsia="仿宋_GB2312" w:cs="Times New Roman" w:hAnsi="Times New Roman"/>
          <w:sz w:val="32"/>
          <w:szCs w:val="32"/>
        </w:rPr>
        <w:t>万元，包括本级支出。</w:t>
      </w:r>
    </w:p>
    <w:p>
      <w:pPr>
        <w:spacing w:line="584" w:lineRule="exact"/>
        <w:ind w:firstLine="640"/>
        <w:rPr>
          <w:rFonts w:ascii="Times New Roman" w:eastAsia="仿宋_GB2312" w:cs="Times New Roman" w:hAnsi="Times New Roman"/>
          <w:b/>
          <w:sz w:val="32"/>
          <w:szCs w:val="32"/>
        </w:rPr>
      </w:pPr>
      <w:r>
        <w:rPr>
          <w:rFonts w:ascii="Times New Roman" w:eastAsia="仿宋_GB2312" w:cs="Times New Roman" w:hAnsi="Times New Roman"/>
          <w:b/>
          <w:sz w:val="32"/>
          <w:szCs w:val="32"/>
        </w:rPr>
        <w:t>3、比上年增减情况</w:t>
      </w:r>
    </w:p>
    <w:p>
      <w:pPr>
        <w:spacing w:line="584" w:lineRule="exact"/>
        <w:ind w:firstLine="640"/>
        <w:rPr>
          <w:rFonts w:ascii="Times New Roman" w:eastAsia="仿宋_GB2312" w:cs="Times New Roman" w:hAnsi="Times New Roman"/>
          <w:sz w:val="32"/>
          <w:szCs w:val="32"/>
        </w:rPr>
      </w:pPr>
      <w:r>
        <w:rPr>
          <w:rFonts w:ascii="Times New Roman" w:eastAsia="仿宋_GB2312" w:cs="Times New Roman" w:hAnsi="Times New Roman"/>
          <w:sz w:val="32"/>
          <w:szCs w:val="32"/>
        </w:rPr>
        <w:t>20</w:t>
      </w:r>
      <w:r>
        <w:rPr>
          <w:rFonts w:ascii="Times New Roman" w:eastAsia="仿宋_GB2312" w:cs="Times New Roman" w:hAnsi="Times New Roman" w:hint="eastAsia"/>
          <w:sz w:val="32"/>
          <w:szCs w:val="32"/>
        </w:rPr>
        <w:t>2</w:t>
      </w:r>
      <w:r>
        <w:rPr>
          <w:rFonts w:ascii="Times New Roman" w:eastAsia="仿宋_GB2312" w:cs="Times New Roman" w:hAnsi="Times New Roman" w:hint="eastAsia"/>
          <w:sz w:val="32"/>
          <w:szCs w:val="32"/>
          <w:lang w:val="en-US" w:eastAsia="zh-CN"/>
        </w:rPr>
        <w:t>2</w:t>
      </w:r>
      <w:r>
        <w:rPr>
          <w:rFonts w:ascii="Times New Roman" w:eastAsia="仿宋_GB2312" w:cs="Times New Roman" w:hAnsi="Times New Roman"/>
          <w:sz w:val="32"/>
          <w:szCs w:val="32"/>
        </w:rPr>
        <w:t>年预算收支安排</w:t>
      </w:r>
      <w:r>
        <w:rPr>
          <w:rFonts w:ascii="Times New Roman" w:eastAsia="仿宋_GB2312" w:cs="Times New Roman" w:hAnsi="Times New Roman" w:hint="eastAsia"/>
          <w:sz w:val="32"/>
          <w:szCs w:val="32"/>
          <w:lang w:val="en-US" w:eastAsia="zh-CN"/>
        </w:rPr>
        <w:t>928.92</w:t>
      </w:r>
      <w:r>
        <w:rPr>
          <w:rFonts w:ascii="Times New Roman" w:eastAsia="仿宋_GB2312" w:cs="Times New Roman" w:hAnsi="Times New Roman"/>
          <w:sz w:val="32"/>
          <w:szCs w:val="32"/>
        </w:rPr>
        <w:t>万元，较20</w:t>
      </w:r>
      <w:r>
        <w:rPr>
          <w:rFonts w:ascii="Times New Roman" w:eastAsia="仿宋_GB2312" w:cs="Times New Roman" w:hAnsi="Times New Roman" w:hint="eastAsia"/>
          <w:sz w:val="32"/>
          <w:szCs w:val="32"/>
        </w:rPr>
        <w:t>2</w:t>
      </w:r>
      <w:r>
        <w:rPr>
          <w:rFonts w:ascii="Times New Roman" w:eastAsia="仿宋_GB2312" w:cs="Times New Roman" w:hAnsi="Times New Roman" w:hint="eastAsia"/>
          <w:sz w:val="32"/>
          <w:szCs w:val="32"/>
          <w:lang w:val="en-US" w:eastAsia="zh-CN"/>
        </w:rPr>
        <w:t>1</w:t>
      </w:r>
      <w:r>
        <w:rPr>
          <w:rFonts w:ascii="Times New Roman" w:eastAsia="仿宋_GB2312" w:cs="Times New Roman" w:hAnsi="Times New Roman"/>
          <w:sz w:val="32"/>
          <w:szCs w:val="32"/>
        </w:rPr>
        <w:t>年预算</w:t>
      </w:r>
      <w:r>
        <w:rPr>
          <w:rFonts w:ascii="Times New Roman" w:eastAsia="仿宋_GB2312" w:cs="Times New Roman" w:hAnsi="Times New Roman" w:hint="eastAsia"/>
          <w:sz w:val="32"/>
          <w:szCs w:val="32"/>
          <w:lang w:val="en-US" w:eastAsia="zh-CN"/>
        </w:rPr>
        <w:t>减少344.46</w:t>
      </w:r>
      <w:r>
        <w:rPr>
          <w:rFonts w:ascii="Times New Roman" w:eastAsia="仿宋_GB2312" w:cs="Times New Roman" w:hAnsi="Times New Roman"/>
          <w:sz w:val="32"/>
          <w:szCs w:val="32"/>
        </w:rPr>
        <w:t>万元，其中：基本支出减少</w:t>
      </w:r>
      <w:r>
        <w:rPr>
          <w:rFonts w:ascii="Times New Roman" w:eastAsia="仿宋_GB2312" w:cs="Times New Roman" w:hAnsi="Times New Roman" w:hint="eastAsia"/>
          <w:sz w:val="32"/>
          <w:szCs w:val="32"/>
          <w:lang w:val="en-US" w:eastAsia="zh-CN"/>
        </w:rPr>
        <w:t>76.8</w:t>
      </w:r>
      <w:r>
        <w:rPr>
          <w:rFonts w:ascii="Times New Roman" w:eastAsia="仿宋_GB2312" w:cs="Times New Roman" w:hAnsi="Times New Roman"/>
          <w:sz w:val="32"/>
          <w:szCs w:val="32"/>
        </w:rPr>
        <w:t>万元，主要为</w:t>
      </w:r>
      <w:r>
        <w:rPr>
          <w:rFonts w:ascii="Times New Roman" w:eastAsia="仿宋_GB2312" w:cs="Times New Roman" w:hAnsi="Times New Roman" w:hint="eastAsia"/>
          <w:sz w:val="32"/>
          <w:szCs w:val="32"/>
        </w:rPr>
        <w:t>人员工资、办公费</w:t>
      </w:r>
      <w:r>
        <w:rPr>
          <w:rFonts w:ascii="Times New Roman" w:eastAsia="仿宋_GB2312" w:cs="Times New Roman" w:hAnsi="Times New Roman"/>
          <w:sz w:val="32"/>
          <w:szCs w:val="32"/>
        </w:rPr>
        <w:t>支出；项目支出</w:t>
      </w:r>
      <w:r>
        <w:rPr>
          <w:rFonts w:ascii="Times New Roman" w:eastAsia="仿宋_GB2312" w:cs="Times New Roman" w:hAnsi="Times New Roman" w:hint="eastAsia"/>
          <w:sz w:val="32"/>
          <w:szCs w:val="32"/>
          <w:lang w:val="en-US" w:eastAsia="zh-CN"/>
        </w:rPr>
        <w:t>减少267.66</w:t>
      </w:r>
      <w:r>
        <w:rPr>
          <w:rFonts w:ascii="Times New Roman" w:eastAsia="仿宋_GB2312" w:cs="Times New Roman" w:hAnsi="Times New Roman"/>
          <w:sz w:val="32"/>
          <w:szCs w:val="32"/>
        </w:rPr>
        <w:t>万元，主要为</w:t>
      </w:r>
      <w:r>
        <w:rPr>
          <w:rFonts w:ascii="Times New Roman" w:eastAsia="仿宋_GB2312" w:cs="Times New Roman" w:hAnsi="Times New Roman" w:hint="eastAsia"/>
          <w:sz w:val="32"/>
          <w:szCs w:val="32"/>
          <w:lang w:val="en-US" w:eastAsia="zh-CN"/>
        </w:rPr>
        <w:t>应急管理</w:t>
      </w:r>
      <w:r>
        <w:rPr>
          <w:rFonts w:ascii="Times New Roman" w:eastAsia="仿宋_GB2312" w:cs="Times New Roman" w:hAnsi="Times New Roman"/>
          <w:sz w:val="32"/>
          <w:szCs w:val="32"/>
        </w:rPr>
        <w:t>支出。</w:t>
      </w:r>
    </w:p>
    <w:p>
      <w:pPr>
        <w:autoSpaceDE w:val="0"/>
        <w:autoSpaceDN w:val="0"/>
        <w:adjustRightInd w:val="0"/>
        <w:spacing w:line="584" w:lineRule="exact"/>
        <w:ind w:left="198" w:firstLineChars="200" w:firstLine="640"/>
        <w:jc w:val="left"/>
        <w:rPr>
          <w:rFonts w:ascii="Times New Roman" w:eastAsia="黑体" w:cs="Times New Roman" w:hAnsi="Times New Roman"/>
          <w:sz w:val="32"/>
          <w:szCs w:val="32"/>
        </w:rPr>
      </w:pPr>
      <w:r>
        <w:rPr>
          <w:rFonts w:ascii="Times New Roman" w:eastAsia="黑体" w:cs="Times New Roman" w:hAnsi="Times New Roman"/>
          <w:sz w:val="32"/>
          <w:szCs w:val="32"/>
        </w:rPr>
        <w:t>三、机关运行经费安排情况</w:t>
      </w:r>
    </w:p>
    <w:p>
      <w:pPr>
        <w:autoSpaceDE w:val="0"/>
        <w:autoSpaceDN w:val="0"/>
        <w:adjustRightInd w:val="0"/>
        <w:spacing w:line="584" w:lineRule="exact"/>
        <w:ind w:left="198" w:firstLineChars="200" w:firstLine="640"/>
        <w:jc w:val="left"/>
        <w:rPr>
          <w:rFonts w:ascii="Times New Roman" w:eastAsia="仿宋_GB2312" w:cs="Times New Roman" w:hAnsi="Times New Roman"/>
          <w:sz w:val="32"/>
          <w:szCs w:val="32"/>
        </w:rPr>
      </w:pPr>
      <w:r>
        <w:rPr>
          <w:rFonts w:ascii="Times New Roman" w:eastAsia="仿宋_GB2312" w:cs="Times New Roman" w:hAnsi="Times New Roman"/>
          <w:sz w:val="32"/>
          <w:szCs w:val="32"/>
        </w:rPr>
        <w:t>20</w:t>
      </w:r>
      <w:r>
        <w:rPr>
          <w:rFonts w:ascii="Times New Roman" w:eastAsia="仿宋_GB2312" w:cs="Times New Roman" w:hAnsi="Times New Roman" w:hint="eastAsia"/>
          <w:sz w:val="32"/>
          <w:szCs w:val="32"/>
        </w:rPr>
        <w:t>2</w:t>
      </w:r>
      <w:r>
        <w:rPr>
          <w:rFonts w:ascii="Times New Roman" w:eastAsia="仿宋_GB2312" w:cs="Times New Roman" w:hAnsi="Times New Roman" w:hint="eastAsia"/>
          <w:sz w:val="32"/>
          <w:szCs w:val="32"/>
          <w:lang w:val="en-US" w:eastAsia="zh-CN"/>
        </w:rPr>
        <w:t>2</w:t>
      </w:r>
      <w:r>
        <w:rPr>
          <w:rFonts w:ascii="Times New Roman" w:eastAsia="仿宋_GB2312" w:cs="Times New Roman" w:hAnsi="Times New Roman"/>
          <w:sz w:val="32"/>
          <w:szCs w:val="32"/>
        </w:rPr>
        <w:t>年，我局机关运行经费共计安排</w:t>
      </w:r>
      <w:r>
        <w:rPr>
          <w:rFonts w:ascii="Times New Roman" w:eastAsia="仿宋_GB2312" w:cs="Times New Roman" w:hAnsi="Times New Roman" w:hint="eastAsia"/>
          <w:sz w:val="32"/>
          <w:szCs w:val="32"/>
          <w:lang w:val="en-US" w:eastAsia="zh-CN"/>
        </w:rPr>
        <w:t>20.24</w:t>
      </w:r>
      <w:r>
        <w:rPr>
          <w:rFonts w:ascii="Times New Roman" w:eastAsia="仿宋_GB2312" w:cs="Times New Roman" w:hAnsi="Times New Roman"/>
          <w:sz w:val="32"/>
          <w:szCs w:val="32"/>
        </w:rPr>
        <w:t>万元，主要用于机关单位办公区的日常维修、办公用房水电费、办公用房取暖费、办公用房物业管理费等日常运行支出。</w:t>
      </w:r>
    </w:p>
    <w:p>
      <w:pPr>
        <w:autoSpaceDE w:val="0"/>
        <w:autoSpaceDN w:val="0"/>
        <w:adjustRightInd w:val="0"/>
        <w:spacing w:line="584" w:lineRule="exact"/>
        <w:ind w:firstLineChars="296" w:firstLine="947"/>
        <w:jc w:val="left"/>
        <w:rPr>
          <w:rFonts w:ascii="黑体" w:eastAsia="黑体" w:cs="Times New Roman" w:hAnsi="黑体"/>
          <w:sz w:val="32"/>
          <w:szCs w:val="32"/>
        </w:rPr>
      </w:pPr>
      <w:r>
        <w:rPr>
          <w:rFonts w:ascii="黑体" w:eastAsia="黑体" w:cs="Times New Roman" w:hAnsi="黑体"/>
          <w:sz w:val="32"/>
          <w:szCs w:val="32"/>
        </w:rPr>
        <w:t>四、财政拨款“三公”经费预算情况及增减变化原因</w:t>
      </w:r>
    </w:p>
    <w:p>
      <w:pPr>
        <w:autoSpaceDE w:val="0"/>
        <w:autoSpaceDN w:val="0"/>
        <w:adjustRightInd w:val="0"/>
        <w:spacing w:line="584" w:lineRule="exact"/>
        <w:ind w:leftChars="94" w:left="197" w:firstLineChars="200" w:firstLine="640"/>
        <w:jc w:val="left"/>
        <w:rPr>
          <w:rFonts w:ascii="Times New Roman" w:eastAsia="仿宋_GB2312" w:cs="Times New Roman" w:hAnsi="Times New Roman"/>
          <w:sz w:val="32"/>
          <w:szCs w:val="32"/>
        </w:rPr>
      </w:pPr>
      <w:r>
        <w:rPr>
          <w:rFonts w:ascii="Times New Roman" w:eastAsia="仿宋_GB2312" w:cs="Times New Roman" w:hAnsi="Times New Roman"/>
          <w:sz w:val="32"/>
          <w:szCs w:val="32"/>
        </w:rPr>
        <w:t>20</w:t>
      </w:r>
      <w:r>
        <w:rPr>
          <w:rFonts w:ascii="Times New Roman" w:eastAsia="仿宋_GB2312" w:cs="Times New Roman" w:hAnsi="Times New Roman" w:hint="eastAsia"/>
          <w:sz w:val="32"/>
          <w:szCs w:val="32"/>
        </w:rPr>
        <w:t>2</w:t>
      </w:r>
      <w:r>
        <w:rPr>
          <w:rFonts w:ascii="Times New Roman" w:eastAsia="仿宋_GB2312" w:cs="Times New Roman" w:hAnsi="Times New Roman" w:hint="eastAsia"/>
          <w:sz w:val="32"/>
          <w:szCs w:val="32"/>
          <w:lang w:val="en-US" w:eastAsia="zh-CN"/>
        </w:rPr>
        <w:t>2</w:t>
      </w:r>
      <w:r>
        <w:rPr>
          <w:rFonts w:ascii="Times New Roman" w:eastAsia="仿宋_GB2312" w:cs="Times New Roman" w:hAnsi="Times New Roman"/>
          <w:sz w:val="32"/>
          <w:szCs w:val="32"/>
        </w:rPr>
        <w:t>年，我局财政拨款“三公”经费预算安排</w:t>
      </w:r>
      <w:r>
        <w:rPr>
          <w:rFonts w:ascii="Times New Roman" w:eastAsia="仿宋_GB2312" w:cs="Times New Roman" w:hAnsi="Times New Roman" w:hint="eastAsia"/>
          <w:sz w:val="32"/>
          <w:szCs w:val="32"/>
          <w:lang w:val="en-US" w:eastAsia="zh-CN"/>
        </w:rPr>
        <w:t>0.19</w:t>
      </w:r>
      <w:r>
        <w:rPr>
          <w:rFonts w:ascii="Times New Roman" w:eastAsia="仿宋_GB2312" w:cs="Times New Roman" w:hAnsi="Times New Roman"/>
          <w:sz w:val="32"/>
          <w:szCs w:val="32"/>
        </w:rPr>
        <w:t>万元</w:t>
      </w:r>
      <w:r>
        <w:rPr>
          <w:rFonts w:ascii="Times New Roman" w:eastAsia="仿宋_GB2312" w:cs="Times New Roman" w:hAnsi="Times New Roman" w:hint="eastAsia"/>
          <w:sz w:val="32"/>
          <w:szCs w:val="32"/>
        </w:rPr>
        <w:t>。</w:t>
      </w:r>
      <w:r>
        <w:rPr>
          <w:rFonts w:ascii="Times New Roman" w:eastAsia="仿宋_GB2312" w:cs="Times New Roman" w:hAnsi="Times New Roman"/>
          <w:sz w:val="32"/>
          <w:szCs w:val="32"/>
        </w:rPr>
        <w:t>其中</w:t>
      </w:r>
      <w:r>
        <w:rPr>
          <w:rFonts w:ascii="Times New Roman" w:eastAsia="仿宋_GB2312" w:cs="Times New Roman" w:hAnsi="Times New Roman" w:hint="eastAsia"/>
          <w:sz w:val="32"/>
          <w:szCs w:val="32"/>
        </w:rPr>
        <w:t>，</w:t>
      </w:r>
      <w:r>
        <w:rPr>
          <w:rFonts w:ascii="Times New Roman" w:eastAsia="仿宋_GB2312" w:cs="Times New Roman" w:hAnsi="Times New Roman"/>
          <w:sz w:val="32"/>
          <w:szCs w:val="32"/>
        </w:rPr>
        <w:t>因公出国（境）费</w:t>
      </w:r>
      <w:r>
        <w:rPr>
          <w:rFonts w:ascii="Times New Roman" w:eastAsia="仿宋_GB2312" w:cs="Times New Roman" w:hAnsi="Times New Roman" w:hint="eastAsia"/>
          <w:sz w:val="32"/>
          <w:szCs w:val="32"/>
        </w:rPr>
        <w:t>0</w:t>
      </w:r>
      <w:r>
        <w:rPr>
          <w:rFonts w:ascii="Times New Roman" w:eastAsia="仿宋_GB2312" w:cs="Times New Roman" w:hAnsi="Times New Roman"/>
          <w:sz w:val="32"/>
          <w:szCs w:val="32"/>
        </w:rPr>
        <w:t>万元；公务用车购置及运维费</w:t>
      </w:r>
      <w:r>
        <w:rPr>
          <w:rFonts w:ascii="Times New Roman" w:eastAsia="仿宋_GB2312" w:cs="Times New Roman" w:hAnsi="Times New Roman" w:hint="eastAsia"/>
          <w:sz w:val="32"/>
          <w:szCs w:val="32"/>
        </w:rPr>
        <w:t>0</w:t>
      </w:r>
      <w:r>
        <w:rPr>
          <w:rFonts w:ascii="Times New Roman" w:eastAsia="仿宋_GB2312" w:cs="Times New Roman" w:hAnsi="Times New Roman"/>
          <w:sz w:val="32"/>
          <w:szCs w:val="32"/>
        </w:rPr>
        <w:t>万元（其中：公务用车购置费为</w:t>
      </w:r>
      <w:r>
        <w:rPr>
          <w:rFonts w:ascii="Times New Roman" w:eastAsia="仿宋_GB2312" w:cs="Times New Roman" w:hAnsi="Times New Roman" w:hint="eastAsia"/>
          <w:sz w:val="32"/>
          <w:szCs w:val="32"/>
        </w:rPr>
        <w:t>0</w:t>
      </w:r>
      <w:r>
        <w:rPr>
          <w:rFonts w:ascii="Times New Roman" w:eastAsia="仿宋_GB2312" w:cs="Times New Roman" w:hAnsi="Times New Roman"/>
          <w:sz w:val="32"/>
          <w:szCs w:val="32"/>
        </w:rPr>
        <w:t>万元，公务用车运维费</w:t>
      </w:r>
      <w:r>
        <w:rPr>
          <w:rFonts w:ascii="Times New Roman" w:eastAsia="仿宋_GB2312" w:cs="Times New Roman" w:hAnsi="Times New Roman" w:hint="eastAsia"/>
          <w:sz w:val="32"/>
          <w:szCs w:val="32"/>
        </w:rPr>
        <w:t>0</w:t>
      </w:r>
      <w:r>
        <w:rPr>
          <w:rFonts w:ascii="Times New Roman" w:eastAsia="仿宋_GB2312" w:cs="Times New Roman" w:hAnsi="Times New Roman"/>
          <w:sz w:val="32"/>
          <w:szCs w:val="32"/>
        </w:rPr>
        <w:t>万元)；公务接待费</w:t>
      </w:r>
      <w:r>
        <w:rPr>
          <w:rFonts w:ascii="Times New Roman" w:eastAsia="仿宋_GB2312" w:cs="Times New Roman" w:hAnsi="Times New Roman" w:hint="eastAsia"/>
          <w:sz w:val="32"/>
          <w:szCs w:val="32"/>
        </w:rPr>
        <w:t>0.19</w:t>
      </w:r>
      <w:r>
        <w:rPr>
          <w:rFonts w:ascii="Times New Roman" w:eastAsia="仿宋_GB2312" w:cs="Times New Roman" w:hAnsi="Times New Roman"/>
          <w:sz w:val="32"/>
          <w:szCs w:val="32"/>
        </w:rPr>
        <w:t>万元</w:t>
      </w:r>
      <w:r>
        <w:rPr>
          <w:rFonts w:ascii="Times New Roman" w:eastAsia="仿宋_GB2312" w:cs="Times New Roman" w:hAnsi="Times New Roman" w:hint="eastAsia"/>
          <w:sz w:val="32"/>
          <w:szCs w:val="32"/>
          <w:lang w:eastAsia="zh-CN"/>
        </w:rPr>
        <w:t>，</w:t>
      </w:r>
      <w:r>
        <w:rPr>
          <w:rFonts w:ascii="Times New Roman" w:eastAsia="仿宋_GB2312" w:cs="Times New Roman" w:hAnsi="Times New Roman"/>
          <w:color w:val="000000"/>
          <w:sz w:val="32"/>
          <w:szCs w:val="32"/>
        </w:rPr>
        <w:t>与20</w:t>
      </w:r>
      <w:r>
        <w:rPr>
          <w:rFonts w:ascii="Times New Roman" w:eastAsia="仿宋_GB2312" w:cs="Times New Roman" w:hAnsi="Times New Roman" w:hint="eastAsia"/>
          <w:color w:val="000000"/>
          <w:sz w:val="32"/>
          <w:szCs w:val="32"/>
        </w:rPr>
        <w:t>2</w:t>
      </w:r>
      <w:r>
        <w:rPr>
          <w:rFonts w:ascii="Times New Roman" w:eastAsia="仿宋_GB2312" w:cs="Times New Roman" w:hAnsi="Times New Roman" w:hint="eastAsia"/>
          <w:color w:val="000000"/>
          <w:sz w:val="32"/>
          <w:szCs w:val="32"/>
          <w:lang w:val="en-US" w:eastAsia="zh-CN"/>
        </w:rPr>
        <w:t>1</w:t>
      </w:r>
      <w:r>
        <w:rPr>
          <w:rFonts w:ascii="Times New Roman" w:eastAsia="仿宋_GB2312" w:cs="Times New Roman" w:hAnsi="Times New Roman"/>
          <w:color w:val="000000"/>
          <w:sz w:val="32"/>
          <w:szCs w:val="32"/>
        </w:rPr>
        <w:t>年相比持平，无增减变化</w:t>
      </w:r>
      <w:r>
        <w:rPr>
          <w:rFonts w:ascii="Times New Roman" w:eastAsia="仿宋_GB2312" w:cs="Times New Roman" w:hAnsi="Times New Roman" w:hint="eastAsia"/>
          <w:sz w:val="32"/>
          <w:szCs w:val="32"/>
        </w:rPr>
        <w:t>。</w:t>
      </w:r>
    </w:p>
    <w:p>
      <w:pPr>
        <w:spacing w:line="584" w:lineRule="exact"/>
        <w:ind w:firstLineChars="200" w:firstLine="640"/>
        <w:rPr>
          <w:rFonts w:ascii="Times New Roman" w:eastAsia="黑体" w:cs="Times New Roman" w:hAnsi="Times New Roman"/>
          <w:color w:val="FF0000"/>
          <w:sz w:val="32"/>
          <w:szCs w:val="32"/>
        </w:rPr>
      </w:pPr>
      <w:r>
        <w:rPr>
          <w:rFonts w:ascii="Times New Roman" w:eastAsia="黑体" w:cs="Times New Roman" w:hAnsi="Times New Roman"/>
          <w:sz w:val="32"/>
          <w:szCs w:val="32"/>
        </w:rPr>
        <w:t>五、绩效预算信息</w:t>
      </w:r>
    </w:p>
    <w:p>
      <w:pPr>
        <w:spacing w:line="584" w:lineRule="exact"/>
        <w:ind w:firstLineChars="200" w:firstLine="640"/>
        <w:rPr>
          <w:rFonts w:ascii="Times New Roman" w:eastAsia="黑体" w:cs="Times New Roman" w:hAnsi="Times New Roman"/>
          <w:sz w:val="32"/>
          <w:szCs w:val="32"/>
        </w:rPr>
      </w:pPr>
      <w:r>
        <w:rPr>
          <w:rFonts w:ascii="Times New Roman" w:eastAsia="黑体" w:cs="Times New Roman" w:hAnsi="Times New Roman" w:hint="eastAsia"/>
          <w:sz w:val="32"/>
          <w:szCs w:val="32"/>
        </w:rPr>
        <w:t xml:space="preserve">第一部分 </w:t>
      </w:r>
      <w:r>
        <w:rPr>
          <w:rFonts w:ascii="Times New Roman" w:eastAsia="黑体" w:cs="Times New Roman" w:hAnsi="Times New Roman" w:hint="eastAsia"/>
          <w:sz w:val="32"/>
          <w:szCs w:val="32"/>
          <w:lang w:eastAsia="zh-CN"/>
        </w:rPr>
        <w:t>单位</w:t>
      </w:r>
      <w:r>
        <w:rPr>
          <w:rFonts w:ascii="Times New Roman" w:eastAsia="黑体" w:cs="Times New Roman" w:hAnsi="Times New Roman" w:hint="eastAsia"/>
          <w:sz w:val="32"/>
          <w:szCs w:val="32"/>
        </w:rPr>
        <w:t>整体绩效目标</w:t>
      </w:r>
    </w:p>
    <w:p>
      <w:pPr>
        <w:spacing w:line="584" w:lineRule="exact"/>
        <w:ind w:firstLineChars="200" w:firstLine="640"/>
        <w:rPr>
          <w:rFonts w:ascii="楷体_GB2312" w:eastAsia="楷体_GB2312" w:cs="Times New Roman"/>
          <w:b/>
          <w:sz w:val="32"/>
          <w:szCs w:val="32"/>
        </w:rPr>
      </w:pPr>
      <w:r>
        <w:rPr>
          <w:rFonts w:ascii="楷体_GB2312" w:eastAsia="楷体_GB2312" w:cs="Times New Roman" w:hint="eastAsia"/>
          <w:b/>
          <w:sz w:val="32"/>
          <w:szCs w:val="32"/>
        </w:rPr>
        <w:t>（一）总体绩效目标</w:t>
      </w:r>
    </w:p>
    <w:p>
      <w:pPr>
        <w:spacing w:line="584" w:lineRule="exact"/>
        <w:ind w:firstLineChars="200" w:firstLine="560"/>
        <w:rPr>
          <w:rFonts w:ascii="Times New Roman" w:eastAsia="方正仿宋_GBK" w:hAnsi="Times New Roman" w:hint="eastAsia"/>
          <w:sz w:val="28"/>
        </w:rPr>
      </w:pPr>
      <w:r>
        <w:rPr>
          <w:rFonts w:ascii="Times New Roman" w:eastAsia="方正仿宋_GBK" w:hAnsi="Times New Roman"/>
          <w:sz w:val="28"/>
        </w:rPr>
        <w:t>202</w:t>
      </w:r>
      <w:r>
        <w:rPr>
          <w:rFonts w:ascii="Times New Roman" w:eastAsia="方正仿宋_GBK" w:hAnsi="Times New Roman" w:hint="eastAsia"/>
          <w:sz w:val="28"/>
          <w:lang w:val="en-US" w:eastAsia="zh-CN"/>
        </w:rPr>
        <w:t>2</w:t>
      </w:r>
      <w:r>
        <w:rPr>
          <w:rFonts w:ascii="Times New Roman" w:eastAsia="方正仿宋_GBK" w:hAnsi="Times New Roman"/>
          <w:sz w:val="28"/>
        </w:rPr>
        <w:t>年全县应急管理工作的总体工作目标是：统一指挥、专常兼备、反应灵敏、上下联动、平战结合的应急管理体制初步形成，统一领导、权责一致、权威高效的应急能力体系建设全面启动，自然灾害防治能力、重大灾害救助能力、应急救援能力建设明显见效，全县安全生产形势持续稳定。</w:t>
      </w:r>
    </w:p>
    <w:p>
      <w:pPr>
        <w:spacing w:line="584" w:lineRule="exact"/>
        <w:ind w:firstLineChars="200" w:firstLine="640"/>
        <w:rPr>
          <w:rFonts w:ascii="楷体_GB2312" w:eastAsia="楷体_GB2312" w:cs="Times New Roman"/>
          <w:b/>
          <w:sz w:val="32"/>
          <w:szCs w:val="32"/>
        </w:rPr>
      </w:pPr>
      <w:r>
        <w:rPr>
          <w:rFonts w:ascii="楷体_GB2312" w:eastAsia="楷体_GB2312" w:cs="Times New Roman" w:hint="eastAsia"/>
          <w:b/>
          <w:sz w:val="32"/>
          <w:szCs w:val="32"/>
        </w:rPr>
        <w:t>（二）分项绩效目标</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（一）继续深化改革，完善应急管理体制机制</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绩效目标：统一指挥、专常兼备、反应灵敏、上下联动、平战结合的应急管理体制初步形成，统一领导、权责一致、权威高效的应急能力体系建设全面启动。</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绩效指标：1.深化应急管理体制机制改革，构建统筹应对各灾种、有效覆盖各环节、综合协调各方面的全方位、全过程、多层次防灾减灾救灾新体系。2.摸清应急管理底数，全面掌握安全监管队伍、救灾救援队伍现状，全面掌握现有救援装备、救援物资的数量、分布及性能。3.开展“六个整合”：整合工作职能，将分布在相关</w:t>
      </w:r>
      <w:r>
        <w:rPr>
          <w:rFonts w:ascii="Times New Roman" w:eastAsia="方正仿宋_GBK" w:hAnsi="Times New Roman" w:hint="eastAsia"/>
          <w:sz w:val="28"/>
          <w:lang w:eastAsia="zh-CN"/>
        </w:rPr>
        <w:t>单位</w:t>
      </w:r>
      <w:r>
        <w:rPr>
          <w:rFonts w:ascii="Times New Roman" w:eastAsia="方正仿宋_GBK" w:hAnsi="Times New Roman"/>
          <w:sz w:val="28"/>
        </w:rPr>
        <w:t>的应急管理职能进行整合，明确界定职责和权限，形成高效快捷的工作机制；整合管理队伍，将多个</w:t>
      </w:r>
      <w:r>
        <w:rPr>
          <w:rFonts w:ascii="Times New Roman" w:eastAsia="方正仿宋_GBK" w:hAnsi="Times New Roman" w:hint="eastAsia"/>
          <w:sz w:val="28"/>
          <w:lang w:eastAsia="zh-CN"/>
        </w:rPr>
        <w:t>单位</w:t>
      </w:r>
      <w:r>
        <w:rPr>
          <w:rFonts w:ascii="Times New Roman" w:eastAsia="方正仿宋_GBK" w:hAnsi="Times New Roman"/>
          <w:sz w:val="28"/>
        </w:rPr>
        <w:t>的应急人员进行整合，从组织机构设置、干部配备上合理配置，尽快融心聚力；整合救援力量，充分体现大应急的思想，统筹考虑救援力量整合的方式方法；整合法规政策标准，打破政策壁垒，形成统一的应急管理法规政策体系；整合物资器材，避免重复准备，根据灾害种类、地域分布等特点，优化器材物资配置；整合工作机制，坚持着眼全市、有分有合，形成高效统一的工作机制。</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加强统筹协调，提升防灾减灾总体水平</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绩效目标：提升全县自然灾害防治能力、重大灾害救助能力。</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绩效指标：1.落实自然灾害防治责任。推动建立权责一致、失职追责的自然灾害防治责任体系，建立自然灾害调查评估制度，推动有关</w:t>
      </w:r>
      <w:r>
        <w:rPr>
          <w:rFonts w:ascii="Times New Roman" w:eastAsia="方正仿宋_GBK" w:hAnsi="Times New Roman" w:hint="eastAsia"/>
          <w:sz w:val="28"/>
          <w:lang w:eastAsia="zh-CN"/>
        </w:rPr>
        <w:t>单位</w:t>
      </w:r>
      <w:r>
        <w:rPr>
          <w:rFonts w:ascii="Times New Roman" w:eastAsia="方正仿宋_GBK" w:hAnsi="Times New Roman"/>
          <w:sz w:val="28"/>
        </w:rPr>
        <w:t>和地方责任落实。2.开展灾害综合风险普查。摸清全县地震主要断裂带、活动断层周边和地质灾害风险点影响的基础设施、重大工程、人员密集场所以及易引发二次灾害的企业底数，综合划分重点防范区域。3.强化综合风险监测。研究制订全县自然灾害类突发事件调查评估工作方案；每季度组织对灾害风险形势进行综合会商研判，定期分析全县重点地区灾害风险；建立全县自然灾害基础台账，加强业务数据的分析应用。4.加强灾害监测预警。履行地震监测预警职责，做好震情监视跟踪工作；与气象、水利、自然资源等</w:t>
      </w:r>
      <w:r>
        <w:rPr>
          <w:rFonts w:ascii="Times New Roman" w:eastAsia="方正仿宋_GBK" w:hAnsi="Times New Roman" w:hint="eastAsia"/>
          <w:sz w:val="28"/>
          <w:lang w:eastAsia="zh-CN"/>
        </w:rPr>
        <w:t>单位</w:t>
      </w:r>
      <w:r>
        <w:rPr>
          <w:rFonts w:ascii="Times New Roman" w:eastAsia="方正仿宋_GBK" w:hAnsi="Times New Roman"/>
          <w:sz w:val="28"/>
        </w:rPr>
        <w:t>协作，共同做好台风等极端天气、旱情汛情和地质灾害监测预警工作；会同林草</w:t>
      </w:r>
      <w:r>
        <w:rPr>
          <w:rFonts w:ascii="Times New Roman" w:eastAsia="方正仿宋_GBK" w:hAnsi="Times New Roman" w:hint="eastAsia"/>
          <w:sz w:val="28"/>
          <w:lang w:eastAsia="zh-CN"/>
        </w:rPr>
        <w:t>单位</w:t>
      </w:r>
      <w:r>
        <w:rPr>
          <w:rFonts w:ascii="Times New Roman" w:eastAsia="方正仿宋_GBK" w:hAnsi="Times New Roman"/>
          <w:sz w:val="28"/>
        </w:rPr>
        <w:t>，加强林区防火监测预警工作。5.开展专项督促检查。针对重点时段和重要活动开展防震减灾、防汛、防台风、森林草原防火等专项检查。</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（三）强化安全生产，坚决防范和遏制重特大事故</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绩效目标：事故起数和死亡人数继续“双下降”，重特大事故得到有效遏制，全县安全生产形势持续稳定。</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绩效指标：1.全面推进安全生产责任落实。进一步完善《永清县安全生产监管责任清单》，修订安全生产目标管理考核办法，完善巡查督查工作机制，推进企业诚信体系建设，研究制定企业生产经营全过程安全责任追溯、企业安全生产承诺、企业分级分类监管等制度，推行以信用监管为基础的企业安全承诺制。2.开展事故隐患大排查大整治攻坚行动。3.推动安全生产“双控”机制建设。推进企业由隐患排查治理向安全生产风险分级管控转变。4.加大安全生产监管执法力度。全面深化执法公示、执法全过程记录、重大执法决定法制审核“三项制度”，严厉打击各类非法违法生产经营建设行为，确保重要敏感时期全县安全生产形势稳定。</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（四）加快系统建设，切实提高应急救援能力</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绩效目标：应急救援能力建设明显见效。</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绩效指标：1.整合各类应急救援队伍。统筹规划生产安全事故救援、森林和草原火灾扑救、抗洪抢险、地震和地质灾害救援、社会力量等救援队伍整体布局。加强和规范各类专业应急救援队伍管理，推动社会救援与专业力量一体化协作，提升全县救援力量整体能力水平。2.加强应急救援队伍教育训练。深入开展大教育、大培训、大练兵、大比武活动，加强以企业、救援队伍、社会救援力量为主的应急教育培训。组织好全县应急救援队伍技能竞赛、全县重大洪涝灾害应急救援联动演练、地震应急救援综合演练和安全生产重特大事故救援演练等活动。</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坚持科技先行，健全应急管理科技信息化体系</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绩效目标：初步建立应急管理科技信息化体系，实现省、市县乡及相关</w:t>
      </w:r>
      <w:r>
        <w:rPr>
          <w:rFonts w:ascii="Times New Roman" w:eastAsia="方正仿宋_GBK" w:hAnsi="Times New Roman" w:hint="eastAsia"/>
          <w:sz w:val="28"/>
          <w:lang w:eastAsia="zh-CN"/>
        </w:rPr>
        <w:t>单位</w:t>
      </w:r>
      <w:r>
        <w:rPr>
          <w:rFonts w:ascii="Times New Roman" w:eastAsia="方正仿宋_GBK" w:hAnsi="Times New Roman"/>
          <w:sz w:val="28"/>
        </w:rPr>
        <w:t>应急管理信息共享。</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绩效指标：1.加快地震快速反应与指挥辅助系统、隐患直报平台、应急管理信息平台和气代煤协管员管理系统建设，完成气象、消防、地震、重大危险源等信息接入，初步构建起全县应急管理信息化体系框架。2.完成接入省厅应急指挥信息网和全省应急管理综合运用平台系统。构建统一综合的应急管理平台系统，做到应急管理业务处置全覆盖，为全县统一的应急指挥提供信息化支撑。</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加强法治建设，健全应急管理法律法规预案标准</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绩效目标：健全应急管理法律法规预案标准。</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绩效指标：1.强化政策法规体系建设。坚持问题导向，综合运用法律法规的立改废释补短板、强弱项、防风险，以法治思维和法治方式推动全县应急管理事业改革发展。2.加强应急预案体系建设。组织修订防汛抗旱、防台风、地震、突发地质灾害、自然灾害救助、生产安全事故灾难、危险化学品等专项应急预案。指导协调各地各有关</w:t>
      </w:r>
      <w:r>
        <w:rPr>
          <w:rFonts w:ascii="Times New Roman" w:eastAsia="方正仿宋_GBK" w:hAnsi="Times New Roman" w:hint="eastAsia"/>
          <w:sz w:val="28"/>
          <w:lang w:eastAsia="zh-CN"/>
        </w:rPr>
        <w:t>单位</w:t>
      </w:r>
      <w:r>
        <w:rPr>
          <w:rFonts w:ascii="Times New Roman" w:eastAsia="方正仿宋_GBK" w:hAnsi="Times New Roman"/>
          <w:sz w:val="28"/>
        </w:rPr>
        <w:t>编制修订各类应急预案，逐步形成相互衔接、完整配套的应急预案体系。</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夯实基础，实施基础应急能力提升计划</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绩效目标：全县基础应急能力显著提升。</w:t>
      </w:r>
    </w:p>
    <w:p>
      <w:pPr>
        <w:spacing w:line="584" w:lineRule="exact"/>
        <w:ind w:firstLineChars="200" w:firstLine="560"/>
        <w:rPr>
          <w:rFonts w:ascii="Times New Roman" w:eastAsia="方正仿宋_GBK" w:hAnsi="Times New Roman" w:hint="eastAsia"/>
          <w:sz w:val="28"/>
        </w:rPr>
      </w:pPr>
      <w:r>
        <w:rPr>
          <w:rFonts w:ascii="Times New Roman" w:eastAsia="方正仿宋_GBK" w:hAnsi="Times New Roman"/>
          <w:sz w:val="28"/>
        </w:rPr>
        <w:t>绩效指标：1.加强装备和物资准备，做好救灾和物资保障工作。加强救灾预案、物资管理、救灾应急等方面制度建设，研究制定《永清县自然灾害救助应急预案》等制度。做好灾情信息统计、分析、上报和查灾、核灾工作。有效开展冬春救助和救灾捐赠工作，实时准确掌握全市救灾物资储备能力底数和物资台账，畅通物资保障渠道和工作平台。2.推动全民应急安全文明素质提升。大力宣传相关方针政策、法律法规、知识技能。开展应急管理科普宣教“七进”“企业落实安全生产主体责任宣传年”“应急管理新形象宣传年”活动，加大公益宣传力度，举办应急与安全知识竞赛，不断扩大宣传覆盖面。3.开展各类示范社区创建活动，推进综合减灾示范社区创建工作。</w:t>
      </w:r>
    </w:p>
    <w:p>
      <w:pPr>
        <w:spacing w:line="584" w:lineRule="exact"/>
        <w:ind w:firstLineChars="200" w:firstLine="640"/>
        <w:rPr>
          <w:rFonts w:ascii="楷体_GB2312" w:eastAsia="楷体_GB2312" w:cs="Times New Roman"/>
          <w:b/>
          <w:sz w:val="32"/>
          <w:szCs w:val="32"/>
        </w:rPr>
      </w:pPr>
      <w:r>
        <w:rPr>
          <w:rFonts w:ascii="楷体_GB2312" w:eastAsia="楷体_GB2312" w:cs="Times New Roman" w:hint="eastAsia"/>
          <w:b/>
          <w:sz w:val="32"/>
          <w:szCs w:val="32"/>
        </w:rPr>
        <w:t>（三）工作保障措施</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为实现年度总体目标，采取以下保障措施：</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（一）完善制度建设。制定完善预算绩效管理制度、专项资金管理办法等财务管理制度；完善采购询价、质量监督和内部审计等工作保障措施，为全年预算绩效目标的实现奠定制度基础。</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（二）加强支出管理。通过优化支出结构、编细编实预算、提高内控审批效率、加快履行政府采购手续，尽快启动项目、及时支付资金等多种措施，确保支出进度达标。</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（三）加强绩效运行监控。按照《全面实施预算绩效管理推进工作方案》（永财预〔2019〕26号）及市、县财政局相关绩效管理规定，开展绩效运行监控,发现问题及时采取措施，确保绩效目标如期保质实现。</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（四）做好绩效自评。按要求开展上年度</w:t>
      </w:r>
      <w:r>
        <w:rPr>
          <w:rFonts w:ascii="Times New Roman" w:eastAsia="方正仿宋_GBK" w:hAnsi="Times New Roman" w:hint="eastAsia"/>
          <w:sz w:val="28"/>
          <w:lang w:eastAsia="zh-CN"/>
        </w:rPr>
        <w:t>单位</w:t>
      </w:r>
      <w:r>
        <w:rPr>
          <w:rFonts w:ascii="Times New Roman" w:eastAsia="方正仿宋_GBK" w:hAnsi="Times New Roman"/>
          <w:sz w:val="28"/>
        </w:rPr>
        <w:t>预算绩效自评和重点评价工作,对评价中发现的问题及时整改。针对上年度问题情况，“举一反三”，及时调整优化本年度支出结构,提高资金使用效益。</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（五）规范财务资产管理。完善机关财务管理制度，严格审批程序，加强固定资产登记、使用和报废处置管理，做到支出合理，物尽其用。</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六）加强内部监督。加强内部监督制度建设，对绩效运行情况、重大支出决策、资产处置及其他重要经济业务事项的决策和执行进行监督，对会计资料定期进行内部审计,并配合做好审计、财政监督等外部监督工作，确保财政资金安全有效。</w:t>
      </w:r>
    </w:p>
    <w:p>
      <w:pPr>
        <w:spacing w:line="500" w:lineRule="exact"/>
        <w:ind w:firstLineChars="200" w:firstLine="560"/>
        <w:jc w:val="left"/>
        <w:rPr>
          <w:rFonts w:ascii="Times New Roman" w:eastAsia="方正仿宋_GBK" w:hAnsi="Times New Roman"/>
          <w:sz w:val="28"/>
        </w:rPr>
      </w:pPr>
      <w:r>
        <w:rPr>
          <w:rFonts w:ascii="Times New Roman" w:eastAsia="方正仿宋_GBK" w:hAnsi="Times New Roman"/>
          <w:sz w:val="28"/>
        </w:rPr>
        <w:t>（七）加强培训调研。加强人员培训，提高项目主办科室人员业务素质，提高项目实施前、中、后绩效管理水平；加强调研,研究优化财政资金配置、提高资金使用效益的有效措施；加大宣传力度，强化全局干部职工预算绩效管理意识，促进预算绩效管理水平进一步提升。</w:t>
      </w:r>
    </w:p>
    <w:p>
      <w:pPr>
        <w:overflowPunct w:val="0"/>
        <w:adjustRightInd w:val="0"/>
        <w:snapToGrid w:val="0"/>
        <w:spacing w:afterLines="50" w:after="156" w:line="580" w:lineRule="exact"/>
        <w:ind w:firstLineChars="196" w:firstLine="627"/>
        <w:jc w:val="left"/>
        <w:rPr>
          <w:rFonts w:ascii="楷体_GB2312" w:eastAsia="楷体_GB2312" w:cs="Times New Roman" w:hint="eastAsia"/>
          <w:b/>
          <w:sz w:val="32"/>
          <w:szCs w:val="32"/>
        </w:rPr>
      </w:pPr>
      <w:r>
        <w:rPr>
          <w:rFonts w:ascii="楷体_GB2312" w:eastAsia="楷体_GB2312" w:cs="Times New Roman" w:hint="eastAsia"/>
          <w:b/>
          <w:sz w:val="32"/>
          <w:szCs w:val="32"/>
        </w:rPr>
        <w:t>（四）</w:t>
      </w:r>
      <w:r>
        <w:rPr>
          <w:rFonts w:ascii="楷体_GB2312" w:eastAsia="楷体_GB2312" w:cs="Times New Roman" w:hint="eastAsia"/>
          <w:b/>
          <w:sz w:val="32"/>
          <w:szCs w:val="32"/>
          <w:lang w:eastAsia="zh-CN"/>
        </w:rPr>
        <w:t>单位</w:t>
      </w:r>
      <w:r>
        <w:rPr>
          <w:rFonts w:ascii="楷体_GB2312" w:eastAsia="楷体_GB2312" w:cs="Times New Roman" w:hint="eastAsia"/>
          <w:b/>
          <w:sz w:val="32"/>
          <w:szCs w:val="32"/>
        </w:rPr>
        <w:t>整体支出绩效指标</w:t>
      </w:r>
    </w:p>
    <w:tbl>
      <w:tblPr>
        <w:jc w:val="left"/>
        <w:tblInd w:w="0" w:type="dxa"/>
        <w:tblW w:w="14985" w:type="dxa"/>
        <w:tblBorders>
          <w:top w:val="none" w:sz="0" w:space="0" w:color="auto"/>
          <w:left w:val="none" w:sz="0" w:space="0" w:color="auto"/>
          <w:bottom w:val="none" w:sz="0" w:space="0" w:color="auto"/>
          <w:right w:val="none" w:sz="0" w:space="0" w:color="auto"/>
        </w:tblBorders>
        <w:tblCellMar>
          <w:top w:w="0" w:type="dxa"/>
          <w:left w:w="0" w:type="dxa"/>
          <w:bottom w:w="0" w:type="dxa"/>
          <w:right w:w="0" w:type="dxa"/>
        </w:tblCellMar>
        <w:tblLook w:val="0600" w:firstRow="0" w:lastRow="0" w:firstColumn="0" w:lastColumn="0" w:noHBand="1" w:noVBand="1"/>
      </w:tblPr>
      <w:tblGrid>
        <w:gridCol w:w="1200"/>
        <w:gridCol w:w="1350"/>
        <w:gridCol w:w="1800"/>
        <w:gridCol w:w="2235"/>
        <w:gridCol w:w="2250"/>
        <w:gridCol w:w="1350"/>
        <w:gridCol w:w="900"/>
        <w:gridCol w:w="2100"/>
        <w:gridCol w:w="1800"/>
      </w:tblGrid>
      <w:tr>
        <w:trPr>
          <w:trHeight w:val="600"/>
        </w:trPr>
        <w:tc>
          <w:tcPr>
            <w:tcW w:w="14985" w:type="dxa"/>
            <w:gridSpan w:val="9"/>
            <w:tcBorders>
              <w:top w:val="nil"/>
              <w:left w:val="nil"/>
              <w:bottom w:val="nil"/>
              <w:right w:val="nil"/>
            </w:tcBorders>
            <w:shd w:val="clear" w:color="auto" w:fill="D3DCE9"/>
            <w:tcMar>
              <w:top w:w="15" w:type="dxa"/>
              <w:left w:w="15" w:type="dxa"/>
              <w:right w:w="15" w:type="dxa"/>
            </w:tcMar>
            <w:vAlign w:val="center"/>
          </w:tcPr>
          <w:p>
            <w:pPr>
              <w:widowControl/>
              <w:jc w:val="center"/>
              <w:textAlignment w:val="center"/>
              <w:rPr>
                <w:rFonts w:ascii="宋体" w:cs="宋体" w:hAnsi="宋体" w:hint="eastAsia"/>
                <w:color w:val="000000"/>
                <w:sz w:val="43"/>
                <w:szCs w:val="43"/>
              </w:rPr>
            </w:pPr>
            <w:r>
              <w:rPr>
                <w:rFonts w:ascii="宋体" w:cs="宋体" w:hAnsi="宋体" w:hint="eastAsia"/>
                <w:color w:val="000000"/>
                <w:kern w:val="0"/>
                <w:sz w:val="43"/>
                <w:szCs w:val="43"/>
                <w:lang w:eastAsia="zh-CN"/>
              </w:rPr>
              <w:t>单位</w:t>
            </w:r>
            <w:r>
              <w:rPr>
                <w:rFonts w:ascii="宋体" w:cs="宋体" w:hAnsi="宋体" w:hint="eastAsia"/>
                <w:color w:val="000000"/>
                <w:kern w:val="0"/>
                <w:sz w:val="43"/>
                <w:szCs w:val="43"/>
              </w:rPr>
              <w:t>整体支出绩效指标情况</w:t>
            </w:r>
          </w:p>
        </w:tc>
      </w:tr>
      <w:tr>
        <w:trPr>
          <w:trHeight w:val="375"/>
        </w:trPr>
        <w:tc>
          <w:tcPr>
            <w:tcW w:w="120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Microsoft Sans Serif" w:eastAsia="Microsoft Sans Serif" w:cs="Microsoft Sans Serif" w:hAnsi="Microsoft Sans Serif"/>
                <w:b/>
                <w:color w:val="000000"/>
                <w:sz w:val="18"/>
                <w:szCs w:val="18"/>
              </w:rPr>
            </w:pPr>
            <w:r>
              <w:rPr>
                <w:rFonts w:ascii="Microsoft Sans Serif" w:eastAsia="Microsoft Sans Serif" w:cs="Microsoft Sans Serif" w:hAnsi="Microsoft Sans Serif"/>
                <w:b/>
                <w:color w:val="000000"/>
                <w:kern w:val="0"/>
                <w:sz w:val="18"/>
                <w:szCs w:val="18"/>
              </w:rPr>
              <w:t>一级指标</w:t>
            </w:r>
          </w:p>
        </w:tc>
        <w:tc>
          <w:tcPr>
            <w:tcW w:w="135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b/>
                <w:color w:val="000000"/>
                <w:sz w:val="18"/>
                <w:szCs w:val="18"/>
              </w:rPr>
            </w:pPr>
            <w:r>
              <w:rPr>
                <w:rFonts w:ascii="宋体" w:cs="宋体" w:hAnsi="宋体" w:hint="eastAsia"/>
                <w:b/>
                <w:color w:val="000000"/>
                <w:kern w:val="0"/>
                <w:sz w:val="18"/>
                <w:szCs w:val="18"/>
              </w:rPr>
              <w:t>二级指标</w:t>
            </w:r>
          </w:p>
        </w:tc>
        <w:tc>
          <w:tcPr>
            <w:tcW w:w="180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b/>
                <w:color w:val="000000"/>
                <w:sz w:val="18"/>
                <w:szCs w:val="18"/>
              </w:rPr>
            </w:pPr>
            <w:r>
              <w:rPr>
                <w:rFonts w:ascii="宋体" w:cs="宋体" w:hAnsi="宋体" w:hint="eastAsia"/>
                <w:b/>
                <w:color w:val="000000"/>
                <w:kern w:val="0"/>
                <w:sz w:val="18"/>
                <w:szCs w:val="18"/>
              </w:rPr>
              <w:t>三级指标</w:t>
            </w:r>
          </w:p>
        </w:tc>
        <w:tc>
          <w:tcPr>
            <w:tcW w:w="2235"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b/>
                <w:color w:val="000000"/>
                <w:sz w:val="18"/>
                <w:szCs w:val="18"/>
              </w:rPr>
            </w:pPr>
            <w:r>
              <w:rPr>
                <w:rFonts w:ascii="宋体" w:cs="宋体" w:hAnsi="宋体" w:hint="eastAsia"/>
                <w:b/>
                <w:color w:val="000000"/>
                <w:kern w:val="0"/>
                <w:sz w:val="18"/>
                <w:szCs w:val="18"/>
              </w:rPr>
              <w:t>绩效指标描述</w:t>
            </w:r>
          </w:p>
        </w:tc>
        <w:tc>
          <w:tcPr>
            <w:tcW w:w="225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b/>
                <w:color w:val="000000"/>
                <w:sz w:val="18"/>
                <w:szCs w:val="18"/>
              </w:rPr>
            </w:pPr>
            <w:r>
              <w:rPr>
                <w:rFonts w:ascii="宋体" w:cs="宋体" w:hAnsi="宋体" w:hint="eastAsia"/>
                <w:b/>
                <w:color w:val="000000"/>
                <w:kern w:val="0"/>
                <w:sz w:val="18"/>
                <w:szCs w:val="18"/>
              </w:rPr>
              <w:t>评（扣）分标准</w:t>
            </w:r>
          </w:p>
        </w:tc>
        <w:tc>
          <w:tcPr>
            <w:tcW w:w="4350" w:type="dxa"/>
            <w:gridSpan w:val="3"/>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b/>
                <w:color w:val="000000"/>
                <w:sz w:val="18"/>
                <w:szCs w:val="18"/>
              </w:rPr>
            </w:pPr>
            <w:r>
              <w:rPr>
                <w:rFonts w:ascii="宋体" w:cs="宋体" w:hAnsi="宋体" w:hint="eastAsia"/>
                <w:b/>
                <w:color w:val="000000"/>
                <w:kern w:val="0"/>
                <w:sz w:val="18"/>
                <w:szCs w:val="18"/>
              </w:rPr>
              <w:t>指标值</w:t>
            </w:r>
          </w:p>
        </w:tc>
        <w:tc>
          <w:tcPr>
            <w:tcW w:w="180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b/>
                <w:color w:val="000000"/>
                <w:sz w:val="18"/>
                <w:szCs w:val="18"/>
              </w:rPr>
            </w:pPr>
            <w:r>
              <w:rPr>
                <w:rFonts w:ascii="宋体" w:cs="宋体" w:hAnsi="宋体" w:hint="eastAsia"/>
                <w:b/>
                <w:color w:val="000000"/>
                <w:kern w:val="0"/>
                <w:sz w:val="18"/>
                <w:szCs w:val="18"/>
              </w:rPr>
              <w:t>指标值确定依据</w:t>
            </w:r>
          </w:p>
        </w:tc>
      </w:tr>
      <w:tr>
        <w:trPr>
          <w:trHeight w:val="375"/>
        </w:trPr>
        <w:tc>
          <w:tcPr>
            <w:tcW w:w="1200"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tc>
        <w:tc>
          <w:tcPr>
            <w:tcW w:w="1350"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tc>
        <w:tc>
          <w:tcPr>
            <w:tcW w:w="1800"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tc>
        <w:tc>
          <w:tcPr>
            <w:tcW w:w="2235"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tc>
        <w:tc>
          <w:tcPr>
            <w:tcW w:w="2250"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tc>
        <w:tc>
          <w:tcPr>
            <w:tcW w:w="13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b/>
                <w:color w:val="000000"/>
                <w:sz w:val="18"/>
                <w:szCs w:val="18"/>
              </w:rPr>
            </w:pPr>
            <w:r>
              <w:rPr>
                <w:rFonts w:ascii="宋体" w:cs="宋体" w:hAnsi="宋体" w:hint="eastAsia"/>
                <w:b/>
                <w:color w:val="000000"/>
                <w:kern w:val="0"/>
                <w:sz w:val="18"/>
                <w:szCs w:val="18"/>
              </w:rPr>
              <w:t>符号</w:t>
            </w:r>
          </w:p>
        </w:tc>
        <w:tc>
          <w:tcPr>
            <w:tcW w:w="9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b/>
                <w:color w:val="000000"/>
                <w:sz w:val="18"/>
                <w:szCs w:val="18"/>
              </w:rPr>
            </w:pPr>
            <w:r>
              <w:rPr>
                <w:rFonts w:ascii="宋体" w:cs="宋体" w:hAnsi="宋体" w:hint="eastAsia"/>
                <w:b/>
                <w:color w:val="000000"/>
                <w:kern w:val="0"/>
                <w:sz w:val="18"/>
                <w:szCs w:val="18"/>
              </w:rPr>
              <w:t>值</w:t>
            </w:r>
          </w:p>
        </w:tc>
        <w:tc>
          <w:tcPr>
            <w:tcW w:w="21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b/>
                <w:color w:val="000000"/>
                <w:sz w:val="18"/>
                <w:szCs w:val="18"/>
              </w:rPr>
            </w:pPr>
            <w:r>
              <w:rPr>
                <w:rFonts w:ascii="宋体" w:cs="宋体" w:hAnsi="宋体" w:hint="eastAsia"/>
                <w:b/>
                <w:color w:val="000000"/>
                <w:kern w:val="0"/>
                <w:sz w:val="18"/>
                <w:szCs w:val="18"/>
              </w:rPr>
              <w:t>单位（文字描述）</w:t>
            </w:r>
          </w:p>
        </w:tc>
        <w:tc>
          <w:tcPr>
            <w:tcW w:w="1800"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tc>
      </w:tr>
      <w:tr>
        <w:trPr>
          <w:trHeight w:val="960"/>
        </w:trPr>
        <w:tc>
          <w:tcPr>
            <w:tcW w:w="120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b/>
                <w:color w:val="000000"/>
                <w:sz w:val="18"/>
                <w:szCs w:val="18"/>
              </w:rPr>
            </w:pPr>
            <w:r>
              <w:rPr>
                <w:rFonts w:ascii="宋体" w:cs="宋体" w:hAnsi="宋体" w:hint="eastAsia"/>
                <w:b/>
                <w:color w:val="000000"/>
                <w:kern w:val="0"/>
                <w:sz w:val="18"/>
                <w:szCs w:val="18"/>
              </w:rPr>
              <w:t>产出指标</w:t>
            </w:r>
          </w:p>
        </w:tc>
        <w:tc>
          <w:tcPr>
            <w:tcW w:w="13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数量指标</w:t>
            </w: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重点工作实际完成率</w:t>
            </w:r>
          </w:p>
        </w:tc>
        <w:tc>
          <w:tcPr>
            <w:tcW w:w="22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反映全年各项重点工作任务完成情况</w:t>
            </w:r>
          </w:p>
        </w:tc>
        <w:tc>
          <w:tcPr>
            <w:tcW w:w="22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重点工作实际完成率=（实际完成工作数/计划完成工作数）*100%</w:t>
            </w:r>
          </w:p>
        </w:tc>
        <w:tc>
          <w:tcPr>
            <w:tcW w:w="13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w:t>
            </w:r>
          </w:p>
        </w:tc>
        <w:tc>
          <w:tcPr>
            <w:tcW w:w="9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100.00</w:t>
            </w:r>
          </w:p>
        </w:tc>
        <w:tc>
          <w:tcPr>
            <w:tcW w:w="21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w:t>
            </w: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工作计划</w:t>
            </w:r>
          </w:p>
        </w:tc>
      </w:tr>
      <w:tr>
        <w:trPr>
          <w:trHeight w:val="960"/>
        </w:trPr>
        <w:tc>
          <w:tcPr>
            <w:tcW w:w="1200"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tc>
        <w:tc>
          <w:tcPr>
            <w:tcW w:w="13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质量指标</w:t>
            </w: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重点工作质量达标率</w:t>
            </w:r>
          </w:p>
        </w:tc>
        <w:tc>
          <w:tcPr>
            <w:tcW w:w="22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反映重点工作质量达标率情况</w:t>
            </w:r>
          </w:p>
        </w:tc>
        <w:tc>
          <w:tcPr>
            <w:tcW w:w="22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重点工作质量达标率=（质量达标工作数/计划工作数）*100%</w:t>
            </w:r>
          </w:p>
        </w:tc>
        <w:tc>
          <w:tcPr>
            <w:tcW w:w="13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w:t>
            </w:r>
          </w:p>
        </w:tc>
        <w:tc>
          <w:tcPr>
            <w:tcW w:w="9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100.00</w:t>
            </w:r>
          </w:p>
        </w:tc>
        <w:tc>
          <w:tcPr>
            <w:tcW w:w="21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w:t>
            </w: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工作计划</w:t>
            </w:r>
          </w:p>
        </w:tc>
      </w:tr>
      <w:tr>
        <w:trPr>
          <w:trHeight w:val="960"/>
        </w:trPr>
        <w:tc>
          <w:tcPr>
            <w:tcW w:w="1200"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tc>
        <w:tc>
          <w:tcPr>
            <w:tcW w:w="13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时效指标</w:t>
            </w: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重点工作完成及时率</w:t>
            </w:r>
          </w:p>
        </w:tc>
        <w:tc>
          <w:tcPr>
            <w:tcW w:w="22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反映重点工作完成及时率情况</w:t>
            </w:r>
          </w:p>
        </w:tc>
        <w:tc>
          <w:tcPr>
            <w:tcW w:w="22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重点工作完成及时率=（及时完成工作数/计划完成工作数）*100%</w:t>
            </w:r>
          </w:p>
        </w:tc>
        <w:tc>
          <w:tcPr>
            <w:tcW w:w="13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w:t>
            </w:r>
          </w:p>
        </w:tc>
        <w:tc>
          <w:tcPr>
            <w:tcW w:w="9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100.00</w:t>
            </w:r>
          </w:p>
        </w:tc>
        <w:tc>
          <w:tcPr>
            <w:tcW w:w="21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w:t>
            </w: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工作计划</w:t>
            </w:r>
          </w:p>
        </w:tc>
      </w:tr>
      <w:tr>
        <w:trPr>
          <w:trHeight w:val="960"/>
        </w:trPr>
        <w:tc>
          <w:tcPr>
            <w:tcW w:w="1200"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tc>
        <w:tc>
          <w:tcPr>
            <w:tcW w:w="13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成本指标</w:t>
            </w: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重点工作成本控制率</w:t>
            </w:r>
          </w:p>
        </w:tc>
        <w:tc>
          <w:tcPr>
            <w:tcW w:w="22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反映重点工作成本控制情况</w:t>
            </w:r>
          </w:p>
        </w:tc>
        <w:tc>
          <w:tcPr>
            <w:tcW w:w="22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重点工作成本控制率=（实际支出金额/预算金额）*100%</w:t>
            </w:r>
          </w:p>
        </w:tc>
        <w:tc>
          <w:tcPr>
            <w:tcW w:w="13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w:t>
            </w:r>
          </w:p>
        </w:tc>
        <w:tc>
          <w:tcPr>
            <w:tcW w:w="9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100.00</w:t>
            </w:r>
          </w:p>
        </w:tc>
        <w:tc>
          <w:tcPr>
            <w:tcW w:w="21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w:t>
            </w: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工作计划</w:t>
            </w:r>
          </w:p>
        </w:tc>
      </w:tr>
      <w:tr>
        <w:trPr>
          <w:trHeight w:val="960"/>
        </w:trPr>
        <w:tc>
          <w:tcPr>
            <w:tcW w:w="12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b/>
                <w:color w:val="000000"/>
                <w:sz w:val="18"/>
                <w:szCs w:val="18"/>
              </w:rPr>
            </w:pPr>
            <w:r>
              <w:rPr>
                <w:rFonts w:ascii="宋体" w:cs="宋体" w:hAnsi="宋体" w:hint="eastAsia"/>
                <w:b/>
                <w:color w:val="000000"/>
                <w:kern w:val="0"/>
                <w:sz w:val="18"/>
                <w:szCs w:val="18"/>
              </w:rPr>
              <w:t>效益指标</w:t>
            </w:r>
          </w:p>
        </w:tc>
        <w:tc>
          <w:tcPr>
            <w:tcW w:w="13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社会效益指标</w:t>
            </w: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保障全县应急救援工作正常开展</w:t>
            </w:r>
          </w:p>
        </w:tc>
        <w:tc>
          <w:tcPr>
            <w:tcW w:w="22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反映对全县应急救援工作的保障作用</w:t>
            </w:r>
          </w:p>
        </w:tc>
        <w:tc>
          <w:tcPr>
            <w:tcW w:w="22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根据工作完成情况及效果评分，保障，得满分；未保障，不得分。</w:t>
            </w:r>
          </w:p>
        </w:tc>
        <w:tc>
          <w:tcPr>
            <w:tcW w:w="13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文字描述</w:t>
            </w:r>
          </w:p>
        </w:tc>
        <w:tc>
          <w:tcPr>
            <w:tcW w:w="9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jc w:val="center"/>
              <w:rPr>
                <w:rFonts w:ascii="宋体" w:cs="宋体" w:hAnsi="宋体" w:hint="eastAsia"/>
                <w:color w:val="000000"/>
                <w:sz w:val="18"/>
                <w:szCs w:val="18"/>
              </w:rPr>
            </w:pPr>
          </w:p>
        </w:tc>
        <w:tc>
          <w:tcPr>
            <w:tcW w:w="21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提供保障</w:t>
            </w: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工作计划</w:t>
            </w:r>
          </w:p>
        </w:tc>
      </w:tr>
      <w:tr>
        <w:trPr>
          <w:trHeight w:val="915"/>
        </w:trPr>
        <w:tc>
          <w:tcPr>
            <w:tcW w:w="1200" w:type="dxa"/>
            <w:vMerge w:val="restart"/>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b/>
                <w:color w:val="000000"/>
                <w:sz w:val="18"/>
                <w:szCs w:val="18"/>
              </w:rPr>
            </w:pPr>
            <w:r>
              <w:rPr>
                <w:rFonts w:ascii="宋体" w:cs="宋体" w:hAnsi="宋体" w:hint="eastAsia"/>
                <w:b/>
                <w:color w:val="000000"/>
                <w:kern w:val="0"/>
                <w:sz w:val="18"/>
                <w:szCs w:val="18"/>
              </w:rPr>
              <w:t>满意度指标</w:t>
            </w:r>
          </w:p>
        </w:tc>
        <w:tc>
          <w:tcPr>
            <w:tcW w:w="13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服务对象满意度指标</w:t>
            </w: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群众满意度</w:t>
            </w:r>
          </w:p>
        </w:tc>
        <w:tc>
          <w:tcPr>
            <w:tcW w:w="22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辖区群众对应急局整体工作满意度</w:t>
            </w:r>
          </w:p>
        </w:tc>
        <w:tc>
          <w:tcPr>
            <w:tcW w:w="22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根据调查问卷计算满意度，达到目标值得满分，每降低1%，扣1%权重分</w:t>
            </w:r>
          </w:p>
        </w:tc>
        <w:tc>
          <w:tcPr>
            <w:tcW w:w="13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w:t>
            </w:r>
          </w:p>
        </w:tc>
        <w:tc>
          <w:tcPr>
            <w:tcW w:w="9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95.00</w:t>
            </w:r>
          </w:p>
        </w:tc>
        <w:tc>
          <w:tcPr>
            <w:tcW w:w="21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w:t>
            </w: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工作计划，调查问卷</w:t>
            </w:r>
          </w:p>
        </w:tc>
      </w:tr>
      <w:tr>
        <w:trPr>
          <w:trHeight w:val="915"/>
        </w:trPr>
        <w:tc>
          <w:tcPr>
            <w:tcW w:w="1200" w:type="dxa"/>
            <w:vMerge/>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tc>
        <w:tc>
          <w:tcPr>
            <w:tcW w:w="13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服务对象满意度指标</w:t>
            </w: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企业满意度</w:t>
            </w:r>
          </w:p>
        </w:tc>
        <w:tc>
          <w:tcPr>
            <w:tcW w:w="2235"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辖区企业对应急局整体工作满意度</w:t>
            </w:r>
          </w:p>
        </w:tc>
        <w:tc>
          <w:tcPr>
            <w:tcW w:w="22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根据调查问卷计算满意度，达到目标值得满分，每降低1%，扣1%权重分</w:t>
            </w:r>
          </w:p>
        </w:tc>
        <w:tc>
          <w:tcPr>
            <w:tcW w:w="135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w:t>
            </w:r>
          </w:p>
        </w:tc>
        <w:tc>
          <w:tcPr>
            <w:tcW w:w="9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95.00</w:t>
            </w:r>
          </w:p>
        </w:tc>
        <w:tc>
          <w:tcPr>
            <w:tcW w:w="21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w:t>
            </w:r>
          </w:p>
        </w:tc>
        <w:tc>
          <w:tcPr>
            <w:tcW w:w="1800" w:type="dxa"/>
            <w:tcBorders>
              <w:top w:val="single" w:sz="4" w:space="0" w:color="000000"/>
              <w:left w:val="single" w:sz="4" w:space="0" w:color="000000"/>
              <w:bottom w:val="single" w:sz="4" w:space="0" w:color="000000"/>
              <w:right w:val="single" w:sz="4" w:space="0" w:color="000000"/>
            </w:tcBorders>
            <w:tcMar>
              <w:top w:w="15" w:type="dxa"/>
              <w:left w:w="15" w:type="dxa"/>
              <w:right w:w="15" w:type="dxa"/>
            </w:tcMar>
            <w:vAlign w:val="center"/>
          </w:tcPr>
          <w:p>
            <w:pPr>
              <w:widowControl/>
              <w:jc w:val="center"/>
              <w:textAlignment w:val="center"/>
              <w:rPr>
                <w:rFonts w:ascii="宋体" w:cs="宋体" w:hAnsi="宋体" w:hint="eastAsia"/>
                <w:color w:val="000000"/>
                <w:sz w:val="18"/>
                <w:szCs w:val="18"/>
              </w:rPr>
            </w:pPr>
            <w:r>
              <w:rPr>
                <w:rFonts w:ascii="宋体" w:cs="宋体" w:hAnsi="宋体" w:hint="eastAsia"/>
                <w:color w:val="000000"/>
                <w:kern w:val="0"/>
                <w:sz w:val="18"/>
                <w:szCs w:val="18"/>
              </w:rPr>
              <w:t>工作计划，调查问卷</w:t>
            </w:r>
          </w:p>
        </w:tc>
      </w:tr>
    </w:tbl>
    <w:p>
      <w:pPr>
        <w:spacing w:line="584" w:lineRule="exact"/>
        <w:ind w:firstLineChars="200" w:firstLine="640"/>
        <w:rPr>
          <w:rFonts w:ascii="Times New Roman" w:eastAsia="黑体" w:cs="Times New Roman" w:hAnsi="Times New Roman" w:hint="eastAsia"/>
          <w:sz w:val="32"/>
          <w:szCs w:val="32"/>
        </w:rPr>
        <w:sectPr>
          <w:footerReference w:type="default" r:id="rId2"/>
          <w:pgSz w:w="16839" w:h="11907" w:orient="landscape"/>
          <w:pgMar w:top="1361" w:right="1020" w:bottom="1361" w:left="1020" w:header="851" w:footer="992" w:gutter="0"/>
          <w:cols w:num="1" w:space="720"/>
          <w:docGrid w:type="lines" w:linePitch="312" w:charSpace="0"/>
        </w:sectPr>
      </w:pPr>
    </w:p>
    <w:p>
      <w:pPr>
        <w:spacing w:line="584" w:lineRule="exact"/>
        <w:ind w:firstLineChars="200" w:firstLine="640"/>
        <w:rPr>
          <w:rFonts w:ascii="Times New Roman" w:eastAsia="黑体" w:cs="Times New Roman" w:hAnsi="Times New Roman"/>
          <w:sz w:val="32"/>
          <w:szCs w:val="32"/>
        </w:rPr>
      </w:pPr>
      <w:r>
        <w:rPr>
          <w:rFonts w:ascii="Times New Roman" w:eastAsia="黑体" w:cs="Times New Roman" w:hAnsi="Times New Roman" w:hint="eastAsia"/>
          <w:sz w:val="32"/>
          <w:szCs w:val="32"/>
        </w:rPr>
        <w:t>第二部分 资金绩效目标</w:t>
      </w:r>
    </w:p>
    <w:p>
      <w:pPr>
        <w:ind w:firstLine="560"/>
        <w:outlineLvl w:val="3"/>
      </w:pPr>
      <w:bookmarkStart w:id="1" w:name="_Toc_4_4_0000000004"/>
      <w:r>
        <w:rPr>
          <w:rFonts w:ascii="方正仿宋_GBK" w:eastAsia="方正仿宋_GBK" w:cs="方正仿宋_GBK" w:hAnsi="方正仿宋_GBK"/>
          <w:color w:val="000000"/>
          <w:sz w:val="28"/>
        </w:rPr>
        <w:t>1.防汛物资采购绩效目标表</w:t>
      </w:r>
      <w:bookmarkEnd w:id="1"/>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13102322P00629510001M</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防汛物资采购</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50000.00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50000.00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预算资金5万元，其中财政资金5万元主要用于防汛物资购置</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p>
        </w:tc>
        <w:tc>
          <w:tcPr>
            <w:tcW w:w="1587" w:type="dxa"/>
            <w:tcBorders>
              <w:left w:val="single" w:sz="6" w:space="0" w:color="000000"/>
            </w:tcBorders>
            <w:vAlign w:val="center"/>
          </w:tcPr>
          <w:p>
            <w:pPr>
              <w:pStyle w:val="28"/>
            </w:pPr>
            <w:r>
              <w:t>100%</w:t>
            </w:r>
          </w:p>
        </w:tc>
        <w:tc>
          <w:tcPr>
            <w:tcW w:w="1304" w:type="dxa"/>
            <w:tcBorders>
              <w:left w:val="single" w:sz="6" w:space="0" w:color="000000"/>
            </w:tcBorders>
            <w:vAlign w:val="center"/>
          </w:tcPr>
          <w:p>
            <w:pPr>
              <w:pStyle w:val="28"/>
            </w:pPr>
            <w:r>
              <w:t>100%</w:t>
            </w: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1.通过项目的开展制定购置计划，严格验收程序和指标控制，规范使用管理，提高使用率和使用寿命。</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购置应急装备、物资数量</w:t>
            </w:r>
          </w:p>
        </w:tc>
        <w:tc>
          <w:tcPr>
            <w:tcW w:w="2891" w:type="dxa"/>
            <w:tcBorders>
              <w:left w:val="single" w:sz="6" w:space="0" w:color="000000"/>
            </w:tcBorders>
            <w:vAlign w:val="center"/>
          </w:tcPr>
          <w:p>
            <w:pPr>
              <w:pStyle w:val="27"/>
            </w:pPr>
            <w:r>
              <w:t>考察购置应急装备、物资数量情况</w:t>
            </w:r>
          </w:p>
        </w:tc>
        <w:tc>
          <w:tcPr>
            <w:tcW w:w="1276" w:type="dxa"/>
            <w:tcBorders>
              <w:left w:val="single" w:sz="6" w:space="0" w:color="000000"/>
            </w:tcBorders>
            <w:vAlign w:val="center"/>
          </w:tcPr>
          <w:p>
            <w:pPr>
              <w:pStyle w:val="27"/>
            </w:pPr>
            <w:r>
              <w:t>≥500套</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购置应急装备、物资验收合格率</w:t>
            </w:r>
          </w:p>
        </w:tc>
        <w:tc>
          <w:tcPr>
            <w:tcW w:w="2891" w:type="dxa"/>
            <w:tcBorders>
              <w:left w:val="single" w:sz="6" w:space="0" w:color="000000"/>
            </w:tcBorders>
            <w:vAlign w:val="center"/>
          </w:tcPr>
          <w:p>
            <w:pPr>
              <w:pStyle w:val="27"/>
            </w:pPr>
            <w:r>
              <w:t>购置应急装备、物资验收合格率情况</w:t>
            </w:r>
          </w:p>
        </w:tc>
        <w:tc>
          <w:tcPr>
            <w:tcW w:w="1276" w:type="dxa"/>
            <w:tcBorders>
              <w:left w:val="single" w:sz="6" w:space="0" w:color="000000"/>
            </w:tcBorders>
            <w:vAlign w:val="center"/>
          </w:tcPr>
          <w:p>
            <w:pPr>
              <w:pStyle w:val="27"/>
            </w:pPr>
            <w:r>
              <w:t>≥95%</w:t>
            </w:r>
          </w:p>
        </w:tc>
        <w:tc>
          <w:tcPr>
            <w:tcW w:w="1843" w:type="dxa"/>
            <w:tcBorders>
              <w:left w:val="single" w:sz="6" w:space="0" w:color="000000"/>
            </w:tcBorders>
            <w:vAlign w:val="center"/>
          </w:tcPr>
          <w:p>
            <w:pPr>
              <w:pStyle w:val="27"/>
            </w:pPr>
            <w:r>
              <w:t>验收报告</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应急装备物资购置及时性</w:t>
            </w:r>
          </w:p>
        </w:tc>
        <w:tc>
          <w:tcPr>
            <w:tcW w:w="2891" w:type="dxa"/>
            <w:tcBorders>
              <w:left w:val="single" w:sz="6" w:space="0" w:color="000000"/>
            </w:tcBorders>
            <w:vAlign w:val="center"/>
          </w:tcPr>
          <w:p>
            <w:pPr>
              <w:pStyle w:val="27"/>
            </w:pPr>
            <w:r>
              <w:t>考察应急装备物资购置及时性</w:t>
            </w:r>
          </w:p>
        </w:tc>
        <w:tc>
          <w:tcPr>
            <w:tcW w:w="1276" w:type="dxa"/>
            <w:tcBorders>
              <w:left w:val="single" w:sz="6" w:space="0" w:color="000000"/>
            </w:tcBorders>
            <w:vAlign w:val="center"/>
          </w:tcPr>
          <w:p>
            <w:pPr>
              <w:pStyle w:val="27"/>
            </w:pPr>
            <w:r>
              <w:t>及时</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成本控制率</w:t>
            </w:r>
          </w:p>
        </w:tc>
        <w:tc>
          <w:tcPr>
            <w:tcW w:w="2891" w:type="dxa"/>
            <w:tcBorders>
              <w:left w:val="single" w:sz="6" w:space="0" w:color="000000"/>
            </w:tcBorders>
            <w:vAlign w:val="center"/>
          </w:tcPr>
          <w:p>
            <w:pPr>
              <w:pStyle w:val="27"/>
            </w:pPr>
            <w:r>
              <w:t>完成项目计划工作目标的实际节约成本与计划成本的比率，用以反映和考核项目的成本节约程度</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服务合同</w:t>
            </w:r>
          </w:p>
        </w:tc>
      </w:tr>
      <w:tr>
        <w:trPr>
          <w:trHeight w:val="369"/>
        </w:trPr>
        <w:tc>
          <w:tcPr>
            <w:tcW w:w="1276" w:type="dxa"/>
            <w:vMerge w:val="restart"/>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保障应急救援工作正常开展</w:t>
            </w:r>
          </w:p>
        </w:tc>
        <w:tc>
          <w:tcPr>
            <w:tcW w:w="2891" w:type="dxa"/>
            <w:tcBorders>
              <w:left w:val="single" w:sz="6" w:space="0" w:color="000000"/>
            </w:tcBorders>
            <w:vAlign w:val="center"/>
          </w:tcPr>
          <w:p>
            <w:pPr>
              <w:pStyle w:val="27"/>
            </w:pPr>
            <w:r>
              <w:t>考察是否保障应急救援工作正常开展情况</w:t>
            </w:r>
          </w:p>
        </w:tc>
        <w:tc>
          <w:tcPr>
            <w:tcW w:w="1276" w:type="dxa"/>
            <w:tcBorders>
              <w:left w:val="single" w:sz="6" w:space="0" w:color="000000"/>
            </w:tcBorders>
            <w:vAlign w:val="center"/>
          </w:tcPr>
          <w:p>
            <w:pPr>
              <w:pStyle w:val="27"/>
            </w:pPr>
            <w:r>
              <w:t>有效保障</w:t>
            </w:r>
          </w:p>
        </w:tc>
        <w:tc>
          <w:tcPr>
            <w:tcW w:w="1843" w:type="dxa"/>
            <w:tcBorders>
              <w:left w:val="single" w:sz="6" w:space="0" w:color="000000"/>
            </w:tcBorders>
            <w:vAlign w:val="center"/>
          </w:tcPr>
          <w:p>
            <w:pPr>
              <w:pStyle w:val="27"/>
            </w:pPr>
            <w:r>
              <w:t>工作总结</w:t>
            </w:r>
          </w:p>
        </w:tc>
      </w:tr>
      <w:tr>
        <w:trPr>
          <w:trHeight w:val="369"/>
        </w:trPr>
        <w:tc>
          <w:tcPr>
            <w:tcW w:w="1276" w:type="dxa"/>
            <w:vMerge/>
            <w:vAlign w:val="center"/>
          </w:tcPr>
          <w:p/>
        </w:tc>
        <w:tc>
          <w:tcPr>
            <w:tcW w:w="1276" w:type="dxa"/>
            <w:tcBorders>
              <w:left w:val="single" w:sz="6" w:space="0" w:color="000000"/>
            </w:tcBorders>
            <w:vAlign w:val="center"/>
          </w:tcPr>
          <w:p>
            <w:pPr>
              <w:pStyle w:val="27"/>
            </w:pPr>
            <w:r>
              <w:t>可持续影响指标</w:t>
            </w:r>
          </w:p>
        </w:tc>
        <w:tc>
          <w:tcPr>
            <w:tcW w:w="1332" w:type="dxa"/>
            <w:tcBorders>
              <w:left w:val="single" w:sz="6" w:space="0" w:color="000000"/>
            </w:tcBorders>
            <w:vAlign w:val="center"/>
          </w:tcPr>
          <w:p>
            <w:pPr>
              <w:pStyle w:val="27"/>
            </w:pPr>
            <w:r>
              <w:t>持续确保全县安全生产形势稳定</w:t>
            </w:r>
          </w:p>
        </w:tc>
        <w:tc>
          <w:tcPr>
            <w:tcW w:w="2891" w:type="dxa"/>
            <w:tcBorders>
              <w:left w:val="single" w:sz="6" w:space="0" w:color="000000"/>
            </w:tcBorders>
            <w:vAlign w:val="center"/>
          </w:tcPr>
          <w:p>
            <w:pPr>
              <w:pStyle w:val="27"/>
            </w:pPr>
            <w:r>
              <w:t>考察是否持续确保全县安全生产形势稳定</w:t>
            </w:r>
          </w:p>
        </w:tc>
        <w:tc>
          <w:tcPr>
            <w:tcW w:w="1276" w:type="dxa"/>
            <w:tcBorders>
              <w:left w:val="single" w:sz="6" w:space="0" w:color="000000"/>
            </w:tcBorders>
            <w:vAlign w:val="center"/>
          </w:tcPr>
          <w:p>
            <w:pPr>
              <w:pStyle w:val="27"/>
            </w:pPr>
            <w:r>
              <w:t>有效持续</w:t>
            </w:r>
          </w:p>
        </w:tc>
        <w:tc>
          <w:tcPr>
            <w:tcW w:w="1843" w:type="dxa"/>
            <w:tcBorders>
              <w:left w:val="single" w:sz="6" w:space="0" w:color="000000"/>
            </w:tcBorders>
            <w:vAlign w:val="center"/>
          </w:tcPr>
          <w:p>
            <w:pPr>
              <w:pStyle w:val="27"/>
            </w:pPr>
            <w:r>
              <w:t>调查问卷</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社会公众满意度调查</w:t>
            </w:r>
          </w:p>
        </w:tc>
        <w:tc>
          <w:tcPr>
            <w:tcW w:w="2891" w:type="dxa"/>
            <w:tcBorders>
              <w:left w:val="single" w:sz="6" w:space="0" w:color="000000"/>
            </w:tcBorders>
            <w:vAlign w:val="center"/>
          </w:tcPr>
          <w:p>
            <w:pPr>
              <w:pStyle w:val="27"/>
            </w:pPr>
            <w:r>
              <w:t>社会公众的满意度调查</w:t>
            </w:r>
          </w:p>
        </w:tc>
        <w:tc>
          <w:tcPr>
            <w:tcW w:w="1276" w:type="dxa"/>
            <w:tcBorders>
              <w:left w:val="single" w:sz="6" w:space="0" w:color="000000"/>
            </w:tcBorders>
            <w:vAlign w:val="center"/>
          </w:tcPr>
          <w:p>
            <w:pPr>
              <w:pStyle w:val="27"/>
            </w:pPr>
            <w:r>
              <w:t>≥95%</w:t>
            </w:r>
          </w:p>
        </w:tc>
        <w:tc>
          <w:tcPr>
            <w:tcW w:w="1843" w:type="dxa"/>
            <w:tcBorders>
              <w:left w:val="single" w:sz="6" w:space="0" w:color="000000"/>
            </w:tcBorders>
            <w:vAlign w:val="center"/>
          </w:tcPr>
          <w:p>
            <w:pPr>
              <w:pStyle w:val="27"/>
            </w:pPr>
            <w:r>
              <w:t>调查问卷</w:t>
            </w:r>
          </w:p>
        </w:tc>
      </w:tr>
    </w:tbl>
    <w:p>
      <w:pPr>
        <w:rPr>
          <w:rFonts w:ascii="方正仿宋_GBK" w:eastAsia="方正仿宋_GBK" w:cs="方正仿宋_GBK" w:hAnsi="方正仿宋_GBK"/>
          <w:color w:val="000000"/>
          <w:sz w:val="28"/>
        </w:rPr>
      </w:pPr>
      <w:bookmarkStart w:id="2" w:name="_Toc_4_4_0000000005"/>
      <w:r>
        <w:rPr>
          <w:rFonts w:ascii="方正仿宋_GBK" w:eastAsia="方正仿宋_GBK" w:cs="方正仿宋_GBK" w:hAnsi="方正仿宋_GBK"/>
          <w:color w:val="000000"/>
          <w:sz w:val="28"/>
        </w:rPr>
        <w:br w:type="page"/>
      </w:r>
    </w:p>
    <w:p>
      <w:pPr>
        <w:ind w:firstLine="560"/>
        <w:outlineLvl w:val="3"/>
      </w:pPr>
      <w:r>
        <w:rPr>
          <w:rFonts w:ascii="方正仿宋_GBK" w:eastAsia="方正仿宋_GBK" w:cs="方正仿宋_GBK" w:hAnsi="方正仿宋_GBK"/>
          <w:color w:val="000000"/>
          <w:sz w:val="28"/>
        </w:rPr>
        <w:t>2.防汛应急演练绩效目标表</w:t>
      </w:r>
      <w:bookmarkEnd w:id="2"/>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13102322P00629310002X</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防汛应急演练</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50000.00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50000.00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主要用于防汛应急演练。</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p>
        </w:tc>
        <w:tc>
          <w:tcPr>
            <w:tcW w:w="1587" w:type="dxa"/>
            <w:tcBorders>
              <w:left w:val="single" w:sz="6" w:space="0" w:color="000000"/>
            </w:tcBorders>
            <w:vAlign w:val="center"/>
          </w:tcPr>
          <w:p>
            <w:pPr>
              <w:pStyle w:val="28"/>
            </w:pPr>
            <w:r>
              <w:t>100%</w:t>
            </w:r>
          </w:p>
        </w:tc>
        <w:tc>
          <w:tcPr>
            <w:tcW w:w="1304" w:type="dxa"/>
            <w:tcBorders>
              <w:left w:val="single" w:sz="6" w:space="0" w:color="000000"/>
            </w:tcBorders>
            <w:vAlign w:val="center"/>
          </w:tcPr>
          <w:p>
            <w:pPr>
              <w:pStyle w:val="28"/>
            </w:pPr>
            <w:r>
              <w:t>100%</w:t>
            </w: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1.通过项目的开展，完成汛前防汛应急演练，提升应急救援队伍协作能力、救援能力，保证快速、有效应急处置能力。</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防汛应急演练次数</w:t>
            </w:r>
          </w:p>
        </w:tc>
        <w:tc>
          <w:tcPr>
            <w:tcW w:w="2891" w:type="dxa"/>
            <w:tcBorders>
              <w:left w:val="single" w:sz="6" w:space="0" w:color="000000"/>
            </w:tcBorders>
            <w:vAlign w:val="center"/>
          </w:tcPr>
          <w:p>
            <w:pPr>
              <w:pStyle w:val="27"/>
            </w:pPr>
            <w:r>
              <w:t>考察项目应急演练次数完成情况</w:t>
            </w:r>
          </w:p>
        </w:tc>
        <w:tc>
          <w:tcPr>
            <w:tcW w:w="1276" w:type="dxa"/>
            <w:tcBorders>
              <w:left w:val="single" w:sz="6" w:space="0" w:color="000000"/>
            </w:tcBorders>
            <w:vAlign w:val="center"/>
          </w:tcPr>
          <w:p>
            <w:pPr>
              <w:pStyle w:val="27"/>
            </w:pPr>
            <w:r>
              <w:t>≥2次</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防汛应急演练达标率</w:t>
            </w:r>
          </w:p>
        </w:tc>
        <w:tc>
          <w:tcPr>
            <w:tcW w:w="2891" w:type="dxa"/>
            <w:tcBorders>
              <w:left w:val="single" w:sz="6" w:space="0" w:color="000000"/>
            </w:tcBorders>
            <w:vAlign w:val="center"/>
          </w:tcPr>
          <w:p>
            <w:pPr>
              <w:pStyle w:val="27"/>
            </w:pPr>
            <w:r>
              <w:t>考察项目应急演练达标情况</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防汛应急演练完成及时率</w:t>
            </w:r>
          </w:p>
        </w:tc>
        <w:tc>
          <w:tcPr>
            <w:tcW w:w="2891" w:type="dxa"/>
            <w:tcBorders>
              <w:left w:val="single" w:sz="6" w:space="0" w:color="000000"/>
            </w:tcBorders>
            <w:vAlign w:val="center"/>
          </w:tcPr>
          <w:p>
            <w:pPr>
              <w:pStyle w:val="27"/>
            </w:pPr>
            <w:r>
              <w:t>应急演练完成及时情况</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工作计划</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单位成本</w:t>
            </w:r>
          </w:p>
        </w:tc>
        <w:tc>
          <w:tcPr>
            <w:tcW w:w="2891" w:type="dxa"/>
            <w:tcBorders>
              <w:left w:val="single" w:sz="6" w:space="0" w:color="000000"/>
            </w:tcBorders>
            <w:vAlign w:val="center"/>
          </w:tcPr>
          <w:p>
            <w:pPr>
              <w:pStyle w:val="27"/>
            </w:pPr>
            <w:r>
              <w:t>考察项目每次演练成本控制情况</w:t>
            </w:r>
          </w:p>
        </w:tc>
        <w:tc>
          <w:tcPr>
            <w:tcW w:w="1276" w:type="dxa"/>
            <w:tcBorders>
              <w:left w:val="single" w:sz="6" w:space="0" w:color="000000"/>
            </w:tcBorders>
            <w:vAlign w:val="center"/>
          </w:tcPr>
          <w:p>
            <w:pPr>
              <w:pStyle w:val="27"/>
            </w:pPr>
            <w:r>
              <w:t>≤2.5万元/次</w:t>
            </w:r>
          </w:p>
        </w:tc>
        <w:tc>
          <w:tcPr>
            <w:tcW w:w="1843" w:type="dxa"/>
            <w:tcBorders>
              <w:left w:val="single" w:sz="6" w:space="0" w:color="000000"/>
            </w:tcBorders>
            <w:vAlign w:val="center"/>
          </w:tcPr>
          <w:p>
            <w:pPr>
              <w:pStyle w:val="27"/>
            </w:pPr>
            <w:r>
              <w:t>工作计划</w:t>
            </w:r>
          </w:p>
        </w:tc>
      </w:tr>
      <w:tr>
        <w:trPr>
          <w:trHeight w:val="369"/>
        </w:trPr>
        <w:tc>
          <w:tcPr>
            <w:tcW w:w="1276" w:type="dxa"/>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应急队伍配合能力提升</w:t>
            </w:r>
          </w:p>
        </w:tc>
        <w:tc>
          <w:tcPr>
            <w:tcW w:w="2891" w:type="dxa"/>
            <w:tcBorders>
              <w:left w:val="single" w:sz="6" w:space="0" w:color="000000"/>
            </w:tcBorders>
            <w:vAlign w:val="center"/>
          </w:tcPr>
          <w:p>
            <w:pPr>
              <w:pStyle w:val="27"/>
            </w:pPr>
            <w:r>
              <w:t>考察项目保障事故救援能快速、有效处置能力</w:t>
            </w:r>
          </w:p>
        </w:tc>
        <w:tc>
          <w:tcPr>
            <w:tcW w:w="1276" w:type="dxa"/>
            <w:tcBorders>
              <w:left w:val="single" w:sz="6" w:space="0" w:color="000000"/>
            </w:tcBorders>
            <w:vAlign w:val="center"/>
          </w:tcPr>
          <w:p>
            <w:pPr>
              <w:pStyle w:val="27"/>
            </w:pPr>
            <w:r>
              <w:t>有所提升</w:t>
            </w:r>
          </w:p>
        </w:tc>
        <w:tc>
          <w:tcPr>
            <w:tcW w:w="1843" w:type="dxa"/>
            <w:tcBorders>
              <w:left w:val="single" w:sz="6" w:space="0" w:color="000000"/>
            </w:tcBorders>
            <w:vAlign w:val="center"/>
          </w:tcPr>
          <w:p>
            <w:pPr>
              <w:pStyle w:val="27"/>
            </w:pPr>
            <w:r>
              <w:t>问卷调查</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社会公众满意度</w:t>
            </w:r>
          </w:p>
        </w:tc>
        <w:tc>
          <w:tcPr>
            <w:tcW w:w="2891" w:type="dxa"/>
            <w:tcBorders>
              <w:left w:val="single" w:sz="6" w:space="0" w:color="000000"/>
            </w:tcBorders>
            <w:vAlign w:val="center"/>
          </w:tcPr>
          <w:p>
            <w:pPr>
              <w:pStyle w:val="27"/>
            </w:pPr>
            <w:r>
              <w:t>社会公众满意度</w:t>
            </w:r>
          </w:p>
        </w:tc>
        <w:tc>
          <w:tcPr>
            <w:tcW w:w="1276" w:type="dxa"/>
            <w:tcBorders>
              <w:left w:val="single" w:sz="6" w:space="0" w:color="000000"/>
            </w:tcBorders>
            <w:vAlign w:val="center"/>
          </w:tcPr>
          <w:p>
            <w:pPr>
              <w:pStyle w:val="27"/>
            </w:pPr>
            <w:r>
              <w:t>≥95%</w:t>
            </w:r>
          </w:p>
        </w:tc>
        <w:tc>
          <w:tcPr>
            <w:tcW w:w="1843" w:type="dxa"/>
            <w:tcBorders>
              <w:left w:val="single" w:sz="6" w:space="0" w:color="000000"/>
            </w:tcBorders>
            <w:vAlign w:val="center"/>
          </w:tcPr>
          <w:p>
            <w:pPr>
              <w:pStyle w:val="27"/>
            </w:pPr>
            <w:r>
              <w:t>问卷调查</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3" w:name="_Toc_4_4_0000000006"/>
      <w:r>
        <w:rPr>
          <w:rFonts w:ascii="方正仿宋_GBK" w:eastAsia="方正仿宋_GBK" w:cs="方正仿宋_GBK" w:hAnsi="方正仿宋_GBK"/>
          <w:color w:val="000000"/>
          <w:sz w:val="28"/>
        </w:rPr>
        <w:t>3.化工企业云视频调度系统服务费绩效目标表</w:t>
      </w:r>
      <w:bookmarkEnd w:id="3"/>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13102322P00628710002D</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化工企业云视频调度系统服务费</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10000.00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10000.00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用于支付云视频会议系统服务费用</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r>
              <w:t>100%</w:t>
            </w:r>
          </w:p>
        </w:tc>
        <w:tc>
          <w:tcPr>
            <w:tcW w:w="1587" w:type="dxa"/>
            <w:tcBorders>
              <w:left w:val="single" w:sz="6" w:space="0" w:color="000000"/>
            </w:tcBorders>
            <w:vAlign w:val="center"/>
          </w:tcPr>
          <w:p>
            <w:pPr>
              <w:pStyle w:val="28"/>
            </w:pPr>
            <w:r>
              <w:t>100%</w:t>
            </w:r>
          </w:p>
        </w:tc>
        <w:tc>
          <w:tcPr>
            <w:tcW w:w="1304" w:type="dxa"/>
            <w:tcBorders>
              <w:left w:val="single" w:sz="6" w:space="0" w:color="000000"/>
            </w:tcBorders>
            <w:vAlign w:val="center"/>
          </w:tcPr>
          <w:p>
            <w:pPr>
              <w:pStyle w:val="28"/>
            </w:pPr>
            <w:r>
              <w:t>100%</w:t>
            </w: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1.建设云视频监控系统一套。</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建设云视频监控系统一套。</w:t>
            </w:r>
          </w:p>
        </w:tc>
        <w:tc>
          <w:tcPr>
            <w:tcW w:w="2891" w:type="dxa"/>
            <w:tcBorders>
              <w:left w:val="single" w:sz="6" w:space="0" w:color="000000"/>
            </w:tcBorders>
            <w:vAlign w:val="center"/>
          </w:tcPr>
          <w:p>
            <w:pPr>
              <w:pStyle w:val="27"/>
            </w:pPr>
            <w:r>
              <w:t>反映建设的视频监控系统数量</w:t>
            </w:r>
          </w:p>
        </w:tc>
        <w:tc>
          <w:tcPr>
            <w:tcW w:w="1276" w:type="dxa"/>
            <w:tcBorders>
              <w:left w:val="single" w:sz="6" w:space="0" w:color="000000"/>
            </w:tcBorders>
            <w:vAlign w:val="center"/>
          </w:tcPr>
          <w:p>
            <w:pPr>
              <w:pStyle w:val="27"/>
            </w:pPr>
            <w:r>
              <w:t>1套</w:t>
            </w:r>
          </w:p>
        </w:tc>
        <w:tc>
          <w:tcPr>
            <w:tcW w:w="1843" w:type="dxa"/>
            <w:tcBorders>
              <w:left w:val="single" w:sz="6" w:space="0" w:color="000000"/>
            </w:tcBorders>
            <w:vAlign w:val="center"/>
          </w:tcPr>
          <w:p>
            <w:pPr>
              <w:pStyle w:val="27"/>
            </w:pPr>
            <w:r>
              <w:t>工作计划</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验收合格率</w:t>
            </w:r>
          </w:p>
        </w:tc>
        <w:tc>
          <w:tcPr>
            <w:tcW w:w="2891" w:type="dxa"/>
            <w:tcBorders>
              <w:left w:val="single" w:sz="6" w:space="0" w:color="000000"/>
            </w:tcBorders>
            <w:vAlign w:val="center"/>
          </w:tcPr>
          <w:p>
            <w:pPr>
              <w:pStyle w:val="27"/>
            </w:pPr>
            <w:r>
              <w:t>反映项目建设的合格率情况</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工作计划，验收单</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完成及时率</w:t>
            </w:r>
          </w:p>
        </w:tc>
        <w:tc>
          <w:tcPr>
            <w:tcW w:w="2891" w:type="dxa"/>
            <w:tcBorders>
              <w:left w:val="single" w:sz="6" w:space="0" w:color="000000"/>
            </w:tcBorders>
            <w:vAlign w:val="center"/>
          </w:tcPr>
          <w:p>
            <w:pPr>
              <w:pStyle w:val="27"/>
            </w:pPr>
            <w:r>
              <w:t>反映项目建设完成及时率情况</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工作计划，验收单</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成本控制率</w:t>
            </w:r>
          </w:p>
        </w:tc>
        <w:tc>
          <w:tcPr>
            <w:tcW w:w="2891" w:type="dxa"/>
            <w:tcBorders>
              <w:left w:val="single" w:sz="6" w:space="0" w:color="000000"/>
            </w:tcBorders>
            <w:vAlign w:val="center"/>
          </w:tcPr>
          <w:p>
            <w:pPr>
              <w:pStyle w:val="27"/>
            </w:pPr>
            <w:r>
              <w:t>反映项目的成本控制情况，成本控制率=实际成本/计划成本*100%</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工作计划</w:t>
            </w:r>
          </w:p>
        </w:tc>
      </w:tr>
      <w:tr>
        <w:trPr>
          <w:trHeight w:val="369"/>
        </w:trPr>
        <w:tc>
          <w:tcPr>
            <w:tcW w:w="1276" w:type="dxa"/>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提升对化工企业的监管能力</w:t>
            </w:r>
          </w:p>
        </w:tc>
        <w:tc>
          <w:tcPr>
            <w:tcW w:w="2891" w:type="dxa"/>
            <w:tcBorders>
              <w:left w:val="single" w:sz="6" w:space="0" w:color="000000"/>
            </w:tcBorders>
            <w:vAlign w:val="center"/>
          </w:tcPr>
          <w:p>
            <w:pPr>
              <w:pStyle w:val="27"/>
            </w:pPr>
            <w:r>
              <w:t>反映对化工企业的监管能力的提升作用</w:t>
            </w:r>
          </w:p>
        </w:tc>
        <w:tc>
          <w:tcPr>
            <w:tcW w:w="1276" w:type="dxa"/>
            <w:tcBorders>
              <w:left w:val="single" w:sz="6" w:space="0" w:color="000000"/>
            </w:tcBorders>
            <w:vAlign w:val="center"/>
          </w:tcPr>
          <w:p>
            <w:pPr>
              <w:pStyle w:val="27"/>
            </w:pPr>
            <w:r>
              <w:t>提升</w:t>
            </w:r>
          </w:p>
        </w:tc>
        <w:tc>
          <w:tcPr>
            <w:tcW w:w="1843" w:type="dxa"/>
            <w:tcBorders>
              <w:left w:val="single" w:sz="6" w:space="0" w:color="000000"/>
            </w:tcBorders>
            <w:vAlign w:val="center"/>
          </w:tcPr>
          <w:p>
            <w:pPr>
              <w:pStyle w:val="27"/>
            </w:pPr>
            <w:r>
              <w:t>工作计划</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使用人员满意度</w:t>
            </w:r>
          </w:p>
        </w:tc>
        <w:tc>
          <w:tcPr>
            <w:tcW w:w="2891" w:type="dxa"/>
            <w:tcBorders>
              <w:left w:val="single" w:sz="6" w:space="0" w:color="000000"/>
            </w:tcBorders>
            <w:vAlign w:val="center"/>
          </w:tcPr>
          <w:p>
            <w:pPr>
              <w:pStyle w:val="27"/>
            </w:pPr>
            <w:r>
              <w:t>反映使用人员的满意度情况</w:t>
            </w:r>
          </w:p>
        </w:tc>
        <w:tc>
          <w:tcPr>
            <w:tcW w:w="1276" w:type="dxa"/>
            <w:tcBorders>
              <w:left w:val="single" w:sz="6" w:space="0" w:color="000000"/>
            </w:tcBorders>
            <w:vAlign w:val="center"/>
          </w:tcPr>
          <w:p>
            <w:pPr>
              <w:pStyle w:val="27"/>
            </w:pPr>
            <w:r>
              <w:t>≥90%</w:t>
            </w:r>
          </w:p>
        </w:tc>
        <w:tc>
          <w:tcPr>
            <w:tcW w:w="1843" w:type="dxa"/>
            <w:tcBorders>
              <w:left w:val="single" w:sz="6" w:space="0" w:color="000000"/>
            </w:tcBorders>
            <w:vAlign w:val="center"/>
          </w:tcPr>
          <w:p>
            <w:pPr>
              <w:pStyle w:val="27"/>
            </w:pPr>
            <w:r>
              <w:t>调查问卷</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4" w:name="_Toc_4_4_0000000007"/>
      <w:r>
        <w:rPr>
          <w:rFonts w:ascii="方正仿宋_GBK" w:eastAsia="方正仿宋_GBK" w:cs="方正仿宋_GBK" w:hAnsi="方正仿宋_GBK"/>
          <w:color w:val="000000"/>
          <w:sz w:val="28"/>
        </w:rPr>
        <w:t>4.开展燃气、气代煤安全隐患排查整治专项检查和燃气安全使用的宣传绩效目标表</w:t>
      </w:r>
      <w:bookmarkEnd w:id="4"/>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13102322P006292100028</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开展燃气、气代煤安全隐患排查整治专项检查和燃气安全使用的宣传</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50000.00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50000.00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用于聘请专家费用为5万元。</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r>
              <w:t>30%</w:t>
            </w:r>
          </w:p>
        </w:tc>
        <w:tc>
          <w:tcPr>
            <w:tcW w:w="1587" w:type="dxa"/>
            <w:tcBorders>
              <w:left w:val="single" w:sz="6" w:space="0" w:color="000000"/>
            </w:tcBorders>
            <w:vAlign w:val="center"/>
          </w:tcPr>
          <w:p>
            <w:pPr>
              <w:pStyle w:val="28"/>
            </w:pPr>
            <w:r>
              <w:t>50%</w:t>
            </w:r>
          </w:p>
        </w:tc>
        <w:tc>
          <w:tcPr>
            <w:tcW w:w="1304" w:type="dxa"/>
            <w:tcBorders>
              <w:left w:val="single" w:sz="6" w:space="0" w:color="000000"/>
            </w:tcBorders>
            <w:vAlign w:val="center"/>
          </w:tcPr>
          <w:p>
            <w:pPr>
              <w:pStyle w:val="28"/>
            </w:pPr>
            <w:r>
              <w:t>70%</w:t>
            </w: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1.2022年度通过项目的开展对全县“气代煤”用户，各类LNG和CNG储罐、燃气运输企业、燃气公司进行专项安全检查，开展燃气、安全宣传教育活动，提高群众安全防范能力。</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工作完成率</w:t>
            </w:r>
          </w:p>
        </w:tc>
        <w:tc>
          <w:tcPr>
            <w:tcW w:w="2891" w:type="dxa"/>
            <w:tcBorders>
              <w:left w:val="single" w:sz="6" w:space="0" w:color="000000"/>
            </w:tcBorders>
            <w:vAlign w:val="center"/>
          </w:tcPr>
          <w:p>
            <w:pPr>
              <w:pStyle w:val="27"/>
            </w:pPr>
            <w:r>
              <w:t>实际完成工作任务/计划完成工作任务*100%</w:t>
            </w:r>
          </w:p>
        </w:tc>
        <w:tc>
          <w:tcPr>
            <w:tcW w:w="1276" w:type="dxa"/>
            <w:tcBorders>
              <w:left w:val="single" w:sz="6" w:space="0" w:color="000000"/>
            </w:tcBorders>
            <w:vAlign w:val="center"/>
          </w:tcPr>
          <w:p>
            <w:pPr>
              <w:pStyle w:val="27"/>
            </w:pPr>
            <w:r>
              <w:t>≥90%</w:t>
            </w:r>
          </w:p>
        </w:tc>
        <w:tc>
          <w:tcPr>
            <w:tcW w:w="1843" w:type="dxa"/>
            <w:tcBorders>
              <w:left w:val="single" w:sz="6" w:space="0" w:color="000000"/>
            </w:tcBorders>
            <w:vAlign w:val="center"/>
          </w:tcPr>
          <w:p>
            <w:pPr>
              <w:pStyle w:val="27"/>
            </w:pPr>
            <w:r>
              <w:t>服务合同</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问题整改达标率</w:t>
            </w:r>
          </w:p>
        </w:tc>
        <w:tc>
          <w:tcPr>
            <w:tcW w:w="2891" w:type="dxa"/>
            <w:tcBorders>
              <w:left w:val="single" w:sz="6" w:space="0" w:color="000000"/>
            </w:tcBorders>
            <w:vAlign w:val="center"/>
          </w:tcPr>
          <w:p>
            <w:pPr>
              <w:pStyle w:val="27"/>
            </w:pPr>
            <w:r>
              <w:t>考察检查问题的整改达标情况</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整改台账</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检查及时率</w:t>
            </w:r>
          </w:p>
        </w:tc>
        <w:tc>
          <w:tcPr>
            <w:tcW w:w="2891" w:type="dxa"/>
            <w:tcBorders>
              <w:left w:val="single" w:sz="6" w:space="0" w:color="000000"/>
            </w:tcBorders>
            <w:vAlign w:val="center"/>
          </w:tcPr>
          <w:p>
            <w:pPr>
              <w:pStyle w:val="27"/>
            </w:pPr>
            <w:r>
              <w:t>考察燃气和气代煤检查及时性情况</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服务合同</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成本控制率</w:t>
            </w:r>
          </w:p>
        </w:tc>
        <w:tc>
          <w:tcPr>
            <w:tcW w:w="2891" w:type="dxa"/>
            <w:tcBorders>
              <w:left w:val="single" w:sz="6" w:space="0" w:color="000000"/>
            </w:tcBorders>
            <w:vAlign w:val="center"/>
          </w:tcPr>
          <w:p>
            <w:pPr>
              <w:pStyle w:val="27"/>
            </w:pPr>
            <w:r>
              <w:t>反映项目的成本控制情况，成本控制率=实际成本/计划成本*100%</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服务合同</w:t>
            </w:r>
          </w:p>
        </w:tc>
      </w:tr>
      <w:tr>
        <w:trPr>
          <w:trHeight w:val="369"/>
        </w:trPr>
        <w:tc>
          <w:tcPr>
            <w:tcW w:w="1276" w:type="dxa"/>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提升群众安全防范意识</w:t>
            </w:r>
          </w:p>
        </w:tc>
        <w:tc>
          <w:tcPr>
            <w:tcW w:w="2891" w:type="dxa"/>
            <w:tcBorders>
              <w:left w:val="single" w:sz="6" w:space="0" w:color="000000"/>
            </w:tcBorders>
            <w:vAlign w:val="center"/>
          </w:tcPr>
          <w:p>
            <w:pPr>
              <w:pStyle w:val="27"/>
            </w:pPr>
            <w:r>
              <w:t>反映对群众安全防范意识的提升情况</w:t>
            </w:r>
          </w:p>
        </w:tc>
        <w:tc>
          <w:tcPr>
            <w:tcW w:w="1276" w:type="dxa"/>
            <w:tcBorders>
              <w:left w:val="single" w:sz="6" w:space="0" w:color="000000"/>
            </w:tcBorders>
            <w:vAlign w:val="center"/>
          </w:tcPr>
          <w:p>
            <w:pPr>
              <w:pStyle w:val="27"/>
            </w:pPr>
            <w:r>
              <w:t>有效提升</w:t>
            </w:r>
          </w:p>
        </w:tc>
        <w:tc>
          <w:tcPr>
            <w:tcW w:w="1843" w:type="dxa"/>
            <w:tcBorders>
              <w:left w:val="single" w:sz="6" w:space="0" w:color="000000"/>
            </w:tcBorders>
            <w:vAlign w:val="center"/>
          </w:tcPr>
          <w:p>
            <w:pPr>
              <w:pStyle w:val="27"/>
            </w:pPr>
            <w:r>
              <w:t>调查问卷</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受益群众满意度</w:t>
            </w:r>
          </w:p>
        </w:tc>
        <w:tc>
          <w:tcPr>
            <w:tcW w:w="2891" w:type="dxa"/>
            <w:tcBorders>
              <w:left w:val="single" w:sz="6" w:space="0" w:color="000000"/>
            </w:tcBorders>
            <w:vAlign w:val="center"/>
          </w:tcPr>
          <w:p>
            <w:pPr>
              <w:pStyle w:val="27"/>
            </w:pPr>
            <w:r>
              <w:t>反映受益群众满意度情况</w:t>
            </w:r>
          </w:p>
        </w:tc>
        <w:tc>
          <w:tcPr>
            <w:tcW w:w="1276" w:type="dxa"/>
            <w:tcBorders>
              <w:left w:val="single" w:sz="6" w:space="0" w:color="000000"/>
            </w:tcBorders>
            <w:vAlign w:val="center"/>
          </w:tcPr>
          <w:p>
            <w:pPr>
              <w:pStyle w:val="27"/>
            </w:pPr>
            <w:r>
              <w:t>≥95%</w:t>
            </w:r>
          </w:p>
        </w:tc>
        <w:tc>
          <w:tcPr>
            <w:tcW w:w="1843" w:type="dxa"/>
            <w:tcBorders>
              <w:left w:val="single" w:sz="6" w:space="0" w:color="000000"/>
            </w:tcBorders>
            <w:vAlign w:val="center"/>
          </w:tcPr>
          <w:p>
            <w:pPr>
              <w:pStyle w:val="27"/>
            </w:pPr>
            <w:r>
              <w:t>调查问卷</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5" w:name="_Toc_4_4_0000000008"/>
      <w:r>
        <w:rPr>
          <w:rFonts w:ascii="方正仿宋_GBK" w:eastAsia="方正仿宋_GBK" w:cs="方正仿宋_GBK" w:hAnsi="方正仿宋_GBK"/>
          <w:color w:val="000000"/>
          <w:sz w:val="28"/>
        </w:rPr>
        <w:t>5.廊财建[2020]153号 2021年省级自然灾害救助专项资金绩效目标表</w:t>
      </w:r>
      <w:bookmarkEnd w:id="5"/>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13102321AGKLS3BGLKHET</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廊财建[2020]153号 2021年省级自然灾害救助专项资金</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12500.00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12500.00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缴纳农村住房保险。</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p>
        </w:tc>
        <w:tc>
          <w:tcPr>
            <w:tcW w:w="1587" w:type="dxa"/>
            <w:tcBorders>
              <w:left w:val="single" w:sz="6" w:space="0" w:color="000000"/>
            </w:tcBorders>
            <w:vAlign w:val="center"/>
          </w:tcPr>
          <w:p>
            <w:pPr>
              <w:pStyle w:val="28"/>
            </w:pPr>
          </w:p>
        </w:tc>
        <w:tc>
          <w:tcPr>
            <w:tcW w:w="1304" w:type="dxa"/>
            <w:tcBorders>
              <w:left w:val="single" w:sz="6" w:space="0" w:color="000000"/>
            </w:tcBorders>
            <w:vAlign w:val="center"/>
          </w:tcPr>
          <w:p>
            <w:pPr>
              <w:pStyle w:val="28"/>
            </w:pPr>
            <w:r>
              <w:t>100%</w:t>
            </w: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1.补充2022年农村农村住房保险，未使用部分于2022年9月底前交回财政。</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需补充缴纳保险的户数</w:t>
            </w:r>
          </w:p>
        </w:tc>
        <w:tc>
          <w:tcPr>
            <w:tcW w:w="2891" w:type="dxa"/>
            <w:tcBorders>
              <w:left w:val="single" w:sz="6" w:space="0" w:color="000000"/>
            </w:tcBorders>
            <w:vAlign w:val="center"/>
          </w:tcPr>
          <w:p>
            <w:pPr>
              <w:pStyle w:val="27"/>
            </w:pPr>
            <w:r>
              <w:t>反映需补充缴纳保险的户数</w:t>
            </w:r>
          </w:p>
        </w:tc>
        <w:tc>
          <w:tcPr>
            <w:tcW w:w="1276" w:type="dxa"/>
            <w:tcBorders>
              <w:left w:val="single" w:sz="6" w:space="0" w:color="000000"/>
            </w:tcBorders>
            <w:vAlign w:val="center"/>
          </w:tcPr>
          <w:p>
            <w:pPr>
              <w:pStyle w:val="27"/>
            </w:pPr>
            <w:r>
              <w:t>≥95516户</w:t>
            </w:r>
          </w:p>
        </w:tc>
        <w:tc>
          <w:tcPr>
            <w:tcW w:w="1843" w:type="dxa"/>
            <w:tcBorders>
              <w:left w:val="single" w:sz="6" w:space="0" w:color="000000"/>
            </w:tcBorders>
            <w:vAlign w:val="center"/>
          </w:tcPr>
          <w:p>
            <w:pPr>
              <w:pStyle w:val="27"/>
            </w:pPr>
            <w:r>
              <w:t>工作计划</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保险费用核算准确率</w:t>
            </w:r>
          </w:p>
        </w:tc>
        <w:tc>
          <w:tcPr>
            <w:tcW w:w="2891" w:type="dxa"/>
            <w:tcBorders>
              <w:left w:val="single" w:sz="6" w:space="0" w:color="000000"/>
            </w:tcBorders>
            <w:vAlign w:val="center"/>
          </w:tcPr>
          <w:p>
            <w:pPr>
              <w:pStyle w:val="27"/>
            </w:pPr>
            <w:r>
              <w:t>反映缴纳保险费用核算的准确性</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工作计划</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保险缴纳及时性</w:t>
            </w:r>
          </w:p>
        </w:tc>
        <w:tc>
          <w:tcPr>
            <w:tcW w:w="2891" w:type="dxa"/>
            <w:tcBorders>
              <w:left w:val="single" w:sz="6" w:space="0" w:color="000000"/>
            </w:tcBorders>
            <w:vAlign w:val="center"/>
          </w:tcPr>
          <w:p>
            <w:pPr>
              <w:pStyle w:val="27"/>
            </w:pPr>
            <w:r>
              <w:t>反映住房保险缴纳的及时性情况</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工作计划</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成本控制率</w:t>
            </w:r>
          </w:p>
        </w:tc>
        <w:tc>
          <w:tcPr>
            <w:tcW w:w="2891" w:type="dxa"/>
            <w:tcBorders>
              <w:left w:val="single" w:sz="6" w:space="0" w:color="000000"/>
            </w:tcBorders>
            <w:vAlign w:val="center"/>
          </w:tcPr>
          <w:p>
            <w:pPr>
              <w:pStyle w:val="27"/>
            </w:pPr>
            <w:r>
              <w:t>反映项目的成本控制情况，成本控制率=实际成本/计划成本*100%</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工作计划</w:t>
            </w:r>
          </w:p>
        </w:tc>
      </w:tr>
      <w:tr>
        <w:trPr>
          <w:trHeight w:val="369"/>
        </w:trPr>
        <w:tc>
          <w:tcPr>
            <w:tcW w:w="1276" w:type="dxa"/>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提升群众防灾救灾能力</w:t>
            </w:r>
          </w:p>
        </w:tc>
        <w:tc>
          <w:tcPr>
            <w:tcW w:w="2891" w:type="dxa"/>
            <w:tcBorders>
              <w:left w:val="single" w:sz="6" w:space="0" w:color="000000"/>
            </w:tcBorders>
            <w:vAlign w:val="center"/>
          </w:tcPr>
          <w:p>
            <w:pPr>
              <w:pStyle w:val="27"/>
            </w:pPr>
            <w:r>
              <w:t>反映对群众防灾救灾能力的提升作用</w:t>
            </w:r>
          </w:p>
        </w:tc>
        <w:tc>
          <w:tcPr>
            <w:tcW w:w="1276" w:type="dxa"/>
            <w:tcBorders>
              <w:left w:val="single" w:sz="6" w:space="0" w:color="000000"/>
            </w:tcBorders>
            <w:vAlign w:val="center"/>
          </w:tcPr>
          <w:p>
            <w:pPr>
              <w:pStyle w:val="27"/>
            </w:pPr>
            <w:r>
              <w:t>提升</w:t>
            </w:r>
          </w:p>
        </w:tc>
        <w:tc>
          <w:tcPr>
            <w:tcW w:w="1843" w:type="dxa"/>
            <w:tcBorders>
              <w:left w:val="single" w:sz="6" w:space="0" w:color="000000"/>
            </w:tcBorders>
            <w:vAlign w:val="center"/>
          </w:tcPr>
          <w:p>
            <w:pPr>
              <w:pStyle w:val="27"/>
            </w:pPr>
            <w:r>
              <w:t>工作计划</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服务对象满意度</w:t>
            </w:r>
          </w:p>
        </w:tc>
        <w:tc>
          <w:tcPr>
            <w:tcW w:w="2891" w:type="dxa"/>
            <w:tcBorders>
              <w:left w:val="single" w:sz="6" w:space="0" w:color="000000"/>
            </w:tcBorders>
            <w:vAlign w:val="center"/>
          </w:tcPr>
          <w:p>
            <w:pPr>
              <w:pStyle w:val="27"/>
            </w:pPr>
            <w:r>
              <w:t>反映服务对象满意度情况</w:t>
            </w:r>
          </w:p>
        </w:tc>
        <w:tc>
          <w:tcPr>
            <w:tcW w:w="1276" w:type="dxa"/>
            <w:tcBorders>
              <w:left w:val="single" w:sz="6" w:space="0" w:color="000000"/>
            </w:tcBorders>
            <w:vAlign w:val="center"/>
          </w:tcPr>
          <w:p>
            <w:pPr>
              <w:pStyle w:val="27"/>
            </w:pPr>
            <w:r>
              <w:t>≥95%</w:t>
            </w:r>
          </w:p>
        </w:tc>
        <w:tc>
          <w:tcPr>
            <w:tcW w:w="1843" w:type="dxa"/>
            <w:tcBorders>
              <w:left w:val="single" w:sz="6" w:space="0" w:color="000000"/>
            </w:tcBorders>
            <w:vAlign w:val="center"/>
          </w:tcPr>
          <w:p>
            <w:pPr>
              <w:pStyle w:val="27"/>
            </w:pPr>
            <w:r>
              <w:t>调查问卷</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6" w:name="_Toc_4_4_0000000009"/>
      <w:r>
        <w:rPr>
          <w:rFonts w:ascii="方正仿宋_GBK" w:eastAsia="方正仿宋_GBK" w:cs="方正仿宋_GBK" w:hAnsi="方正仿宋_GBK"/>
          <w:color w:val="000000"/>
          <w:sz w:val="28"/>
        </w:rPr>
        <w:t>6.廊财建[2021】74号关于下达2021年中央自然灾害防治体系建设补助资金预算（全国自然灾害综合风险普查经费）的通知绩效目标表</w:t>
      </w:r>
      <w:bookmarkEnd w:id="6"/>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13102321P00544910001N</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廊财建[2021】74号关于下达2021年中央自然灾害防治体系建设补助资金预算（全国自然灾害综合风险普查经费）的通知</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220000.00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220000.00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全国自然灾害综合风险普查</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p>
        </w:tc>
        <w:tc>
          <w:tcPr>
            <w:tcW w:w="1587" w:type="dxa"/>
            <w:tcBorders>
              <w:left w:val="single" w:sz="6" w:space="0" w:color="000000"/>
            </w:tcBorders>
            <w:vAlign w:val="center"/>
          </w:tcPr>
          <w:p>
            <w:pPr>
              <w:pStyle w:val="28"/>
            </w:pPr>
            <w:r>
              <w:t>100%</w:t>
            </w:r>
          </w:p>
        </w:tc>
        <w:tc>
          <w:tcPr>
            <w:tcW w:w="1304" w:type="dxa"/>
            <w:tcBorders>
              <w:left w:val="single" w:sz="6" w:space="0" w:color="000000"/>
            </w:tcBorders>
            <w:vAlign w:val="center"/>
          </w:tcPr>
          <w:p>
            <w:pPr>
              <w:pStyle w:val="28"/>
            </w:pPr>
            <w:r>
              <w:t>100%</w:t>
            </w: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1.进行普查清查，摸清普查对象的数量、分布和规模，准确界定普查对象的普查方式及填报单</w:t>
            </w:r>
          </w:p>
          <w:p>
            <w:pPr>
              <w:pStyle w:val="27"/>
            </w:pPr>
            <w:r>
              <w:t>2..开展全面的调查工作，汇总形成调查数据。开展好普查调查阶段的宣传工作</w:t>
            </w:r>
          </w:p>
          <w:p>
            <w:pPr>
              <w:pStyle w:val="27"/>
            </w:pPr>
            <w:r>
              <w:t>3.针对调查对象和内容，开展调查数据质检、汇交等重点工作。</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普查人员参与培训的覆盖率</w:t>
            </w:r>
          </w:p>
        </w:tc>
        <w:tc>
          <w:tcPr>
            <w:tcW w:w="2891" w:type="dxa"/>
            <w:tcBorders>
              <w:left w:val="single" w:sz="6" w:space="0" w:color="000000"/>
            </w:tcBorders>
            <w:vAlign w:val="center"/>
          </w:tcPr>
          <w:p>
            <w:pPr>
              <w:pStyle w:val="27"/>
            </w:pPr>
            <w:r>
              <w:t>反映普查人员参与培训的覆盖率情况</w:t>
            </w:r>
          </w:p>
        </w:tc>
        <w:tc>
          <w:tcPr>
            <w:tcW w:w="1276" w:type="dxa"/>
            <w:tcBorders>
              <w:left w:val="single" w:sz="6" w:space="0" w:color="000000"/>
            </w:tcBorders>
            <w:vAlign w:val="center"/>
          </w:tcPr>
          <w:p>
            <w:pPr>
              <w:pStyle w:val="27"/>
            </w:pPr>
            <w:r>
              <w:t>≥95%</w:t>
            </w:r>
          </w:p>
        </w:tc>
        <w:tc>
          <w:tcPr>
            <w:tcW w:w="1843" w:type="dxa"/>
            <w:tcBorders>
              <w:left w:val="single" w:sz="6" w:space="0" w:color="000000"/>
            </w:tcBorders>
            <w:vAlign w:val="center"/>
          </w:tcPr>
          <w:p>
            <w:pPr>
              <w:pStyle w:val="27"/>
            </w:pPr>
            <w:r>
              <w:t>工作计划</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普查数据成果质检核查通过率</w:t>
            </w:r>
          </w:p>
        </w:tc>
        <w:tc>
          <w:tcPr>
            <w:tcW w:w="2891" w:type="dxa"/>
            <w:tcBorders>
              <w:left w:val="single" w:sz="6" w:space="0" w:color="000000"/>
            </w:tcBorders>
            <w:vAlign w:val="center"/>
          </w:tcPr>
          <w:p>
            <w:pPr>
              <w:pStyle w:val="27"/>
            </w:pPr>
            <w:r>
              <w:t>反映普查数据成果质检核查通过率情况</w:t>
            </w:r>
          </w:p>
        </w:tc>
        <w:tc>
          <w:tcPr>
            <w:tcW w:w="1276" w:type="dxa"/>
            <w:tcBorders>
              <w:left w:val="single" w:sz="6" w:space="0" w:color="000000"/>
            </w:tcBorders>
            <w:vAlign w:val="center"/>
          </w:tcPr>
          <w:p>
            <w:pPr>
              <w:pStyle w:val="27"/>
            </w:pPr>
            <w:r>
              <w:t>≥95%</w:t>
            </w:r>
          </w:p>
        </w:tc>
        <w:tc>
          <w:tcPr>
            <w:tcW w:w="1843" w:type="dxa"/>
            <w:tcBorders>
              <w:left w:val="single" w:sz="6" w:space="0" w:color="000000"/>
            </w:tcBorders>
            <w:vAlign w:val="center"/>
          </w:tcPr>
          <w:p>
            <w:pPr>
              <w:pStyle w:val="27"/>
            </w:pPr>
            <w:r>
              <w:t>工作计划</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进度偏差率</w:t>
            </w:r>
          </w:p>
        </w:tc>
        <w:tc>
          <w:tcPr>
            <w:tcW w:w="2891" w:type="dxa"/>
            <w:tcBorders>
              <w:left w:val="single" w:sz="6" w:space="0" w:color="000000"/>
            </w:tcBorders>
            <w:vAlign w:val="center"/>
          </w:tcPr>
          <w:p>
            <w:pPr>
              <w:pStyle w:val="27"/>
            </w:pPr>
            <w:r>
              <w:t>反映进度偏差情况</w:t>
            </w:r>
          </w:p>
        </w:tc>
        <w:tc>
          <w:tcPr>
            <w:tcW w:w="1276" w:type="dxa"/>
            <w:tcBorders>
              <w:left w:val="single" w:sz="6" w:space="0" w:color="000000"/>
            </w:tcBorders>
            <w:vAlign w:val="center"/>
          </w:tcPr>
          <w:p>
            <w:pPr>
              <w:pStyle w:val="27"/>
            </w:pPr>
            <w:r>
              <w:t>偏差1个月以内</w:t>
            </w:r>
          </w:p>
        </w:tc>
        <w:tc>
          <w:tcPr>
            <w:tcW w:w="1843" w:type="dxa"/>
            <w:tcBorders>
              <w:left w:val="single" w:sz="6" w:space="0" w:color="000000"/>
            </w:tcBorders>
            <w:vAlign w:val="center"/>
          </w:tcPr>
          <w:p>
            <w:pPr>
              <w:pStyle w:val="27"/>
            </w:pPr>
            <w:r>
              <w:t>工作计划</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项目成本控制</w:t>
            </w:r>
          </w:p>
        </w:tc>
        <w:tc>
          <w:tcPr>
            <w:tcW w:w="2891" w:type="dxa"/>
            <w:tcBorders>
              <w:left w:val="single" w:sz="6" w:space="0" w:color="000000"/>
            </w:tcBorders>
            <w:vAlign w:val="center"/>
          </w:tcPr>
          <w:p>
            <w:pPr>
              <w:pStyle w:val="27"/>
            </w:pPr>
            <w:r>
              <w:t>反映项目成本控制情况</w:t>
            </w:r>
          </w:p>
        </w:tc>
        <w:tc>
          <w:tcPr>
            <w:tcW w:w="1276" w:type="dxa"/>
            <w:tcBorders>
              <w:left w:val="single" w:sz="6" w:space="0" w:color="000000"/>
            </w:tcBorders>
            <w:vAlign w:val="center"/>
          </w:tcPr>
          <w:p>
            <w:pPr>
              <w:pStyle w:val="27"/>
            </w:pPr>
            <w:r>
              <w:t>≤22万元</w:t>
            </w:r>
          </w:p>
        </w:tc>
        <w:tc>
          <w:tcPr>
            <w:tcW w:w="1843" w:type="dxa"/>
            <w:tcBorders>
              <w:left w:val="single" w:sz="6" w:space="0" w:color="000000"/>
            </w:tcBorders>
            <w:vAlign w:val="center"/>
          </w:tcPr>
          <w:p>
            <w:pPr>
              <w:pStyle w:val="27"/>
            </w:pPr>
            <w:r>
              <w:t>工作计划</w:t>
            </w:r>
          </w:p>
        </w:tc>
      </w:tr>
      <w:tr>
        <w:trPr>
          <w:trHeight w:val="369"/>
        </w:trPr>
        <w:tc>
          <w:tcPr>
            <w:tcW w:w="1276" w:type="dxa"/>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提升基层自然灾害防治能力</w:t>
            </w:r>
          </w:p>
        </w:tc>
        <w:tc>
          <w:tcPr>
            <w:tcW w:w="2891" w:type="dxa"/>
            <w:tcBorders>
              <w:left w:val="single" w:sz="6" w:space="0" w:color="000000"/>
            </w:tcBorders>
            <w:vAlign w:val="center"/>
          </w:tcPr>
          <w:p>
            <w:pPr>
              <w:pStyle w:val="27"/>
            </w:pPr>
            <w:r>
              <w:t>反映对基层自然灾害防治能力的提升作用</w:t>
            </w:r>
          </w:p>
        </w:tc>
        <w:tc>
          <w:tcPr>
            <w:tcW w:w="1276" w:type="dxa"/>
            <w:tcBorders>
              <w:left w:val="single" w:sz="6" w:space="0" w:color="000000"/>
            </w:tcBorders>
            <w:vAlign w:val="center"/>
          </w:tcPr>
          <w:p>
            <w:pPr>
              <w:pStyle w:val="27"/>
            </w:pPr>
            <w:r>
              <w:t>提升</w:t>
            </w:r>
          </w:p>
        </w:tc>
        <w:tc>
          <w:tcPr>
            <w:tcW w:w="1843" w:type="dxa"/>
            <w:tcBorders>
              <w:left w:val="single" w:sz="6" w:space="0" w:color="000000"/>
            </w:tcBorders>
            <w:vAlign w:val="center"/>
          </w:tcPr>
          <w:p>
            <w:pPr>
              <w:pStyle w:val="27"/>
            </w:pPr>
            <w:r>
              <w:t>工作计划</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服务对象满意度</w:t>
            </w:r>
          </w:p>
        </w:tc>
        <w:tc>
          <w:tcPr>
            <w:tcW w:w="2891" w:type="dxa"/>
            <w:tcBorders>
              <w:left w:val="single" w:sz="6" w:space="0" w:color="000000"/>
            </w:tcBorders>
            <w:vAlign w:val="center"/>
          </w:tcPr>
          <w:p>
            <w:pPr>
              <w:pStyle w:val="27"/>
            </w:pPr>
            <w:r>
              <w:t>反映普查行业</w:t>
            </w:r>
            <w:r>
              <w:rPr>
                <w:rFonts w:hint="eastAsia"/>
                <w:lang w:eastAsia="zh-CN"/>
              </w:rPr>
              <w:t>单位</w:t>
            </w:r>
            <w:r>
              <w:t>及调查覆盖单位满意度</w:t>
            </w:r>
          </w:p>
        </w:tc>
        <w:tc>
          <w:tcPr>
            <w:tcW w:w="1276" w:type="dxa"/>
            <w:tcBorders>
              <w:left w:val="single" w:sz="6" w:space="0" w:color="000000"/>
            </w:tcBorders>
            <w:vAlign w:val="center"/>
          </w:tcPr>
          <w:p>
            <w:pPr>
              <w:pStyle w:val="27"/>
            </w:pPr>
            <w:r>
              <w:t>≥90%</w:t>
            </w:r>
          </w:p>
        </w:tc>
        <w:tc>
          <w:tcPr>
            <w:tcW w:w="1843" w:type="dxa"/>
            <w:tcBorders>
              <w:left w:val="single" w:sz="6" w:space="0" w:color="000000"/>
            </w:tcBorders>
            <w:vAlign w:val="center"/>
          </w:tcPr>
          <w:p>
            <w:pPr>
              <w:pStyle w:val="27"/>
            </w:pPr>
            <w:r>
              <w:t>调查问卷</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7" w:name="_Toc_4_4_0000000010"/>
      <w:r>
        <w:rPr>
          <w:rFonts w:ascii="方正仿宋_GBK" w:eastAsia="方正仿宋_GBK" w:cs="方正仿宋_GBK" w:hAnsi="方正仿宋_GBK"/>
          <w:color w:val="000000"/>
          <w:sz w:val="28"/>
        </w:rPr>
        <w:t>7.廊财建【2021】100号关于下达2021年第二批新型基础设施建设专项（应急通信领域）中央基建投资预算（拨款）的通知绩效目标表</w:t>
      </w:r>
      <w:bookmarkEnd w:id="7"/>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13102321P005515100039</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廊财建【2021】100号关于下达2021年第二批新型基础设施建设专项（应急通信领域）中央基建投资预算（拨款）的通知</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14250.00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14250.00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购置应急通信设备。</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r>
              <w:t>100%</w:t>
            </w:r>
          </w:p>
        </w:tc>
        <w:tc>
          <w:tcPr>
            <w:tcW w:w="1587" w:type="dxa"/>
            <w:tcBorders>
              <w:left w:val="single" w:sz="6" w:space="0" w:color="000000"/>
            </w:tcBorders>
            <w:vAlign w:val="center"/>
          </w:tcPr>
          <w:p>
            <w:pPr>
              <w:pStyle w:val="28"/>
            </w:pPr>
            <w:r>
              <w:t>100%</w:t>
            </w:r>
          </w:p>
        </w:tc>
        <w:tc>
          <w:tcPr>
            <w:tcW w:w="1304" w:type="dxa"/>
            <w:tcBorders>
              <w:left w:val="single" w:sz="6" w:space="0" w:color="000000"/>
            </w:tcBorders>
            <w:vAlign w:val="center"/>
          </w:tcPr>
          <w:p>
            <w:pPr>
              <w:pStyle w:val="28"/>
            </w:pPr>
            <w:r>
              <w:t>100%</w:t>
            </w: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1.于2022年第一季度完成移动指挥系统采购。</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购置设备数量</w:t>
            </w:r>
          </w:p>
        </w:tc>
        <w:tc>
          <w:tcPr>
            <w:tcW w:w="2891" w:type="dxa"/>
            <w:tcBorders>
              <w:left w:val="single" w:sz="6" w:space="0" w:color="000000"/>
            </w:tcBorders>
            <w:vAlign w:val="center"/>
          </w:tcPr>
          <w:p>
            <w:pPr>
              <w:pStyle w:val="27"/>
            </w:pPr>
            <w:r>
              <w:t>反映购置设备的数量</w:t>
            </w:r>
          </w:p>
        </w:tc>
        <w:tc>
          <w:tcPr>
            <w:tcW w:w="1276" w:type="dxa"/>
            <w:tcBorders>
              <w:left w:val="single" w:sz="6" w:space="0" w:color="000000"/>
            </w:tcBorders>
            <w:vAlign w:val="center"/>
          </w:tcPr>
          <w:p>
            <w:pPr>
              <w:pStyle w:val="27"/>
            </w:pPr>
            <w:r>
              <w:t>7台</w:t>
            </w:r>
          </w:p>
        </w:tc>
        <w:tc>
          <w:tcPr>
            <w:tcW w:w="1843" w:type="dxa"/>
            <w:tcBorders>
              <w:left w:val="single" w:sz="6" w:space="0" w:color="000000"/>
            </w:tcBorders>
            <w:vAlign w:val="center"/>
          </w:tcPr>
          <w:p>
            <w:pPr>
              <w:pStyle w:val="27"/>
            </w:pPr>
            <w:r>
              <w:t>工作计划</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设备验收合格率</w:t>
            </w:r>
          </w:p>
        </w:tc>
        <w:tc>
          <w:tcPr>
            <w:tcW w:w="2891" w:type="dxa"/>
            <w:tcBorders>
              <w:left w:val="single" w:sz="6" w:space="0" w:color="000000"/>
            </w:tcBorders>
            <w:vAlign w:val="center"/>
          </w:tcPr>
          <w:p>
            <w:pPr>
              <w:pStyle w:val="27"/>
            </w:pPr>
            <w:r>
              <w:t>反映购置设备的验收合格率</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工作计划</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购置及时性</w:t>
            </w:r>
          </w:p>
        </w:tc>
        <w:tc>
          <w:tcPr>
            <w:tcW w:w="2891" w:type="dxa"/>
            <w:tcBorders>
              <w:left w:val="single" w:sz="6" w:space="0" w:color="000000"/>
            </w:tcBorders>
            <w:vAlign w:val="center"/>
          </w:tcPr>
          <w:p>
            <w:pPr>
              <w:pStyle w:val="27"/>
            </w:pPr>
            <w:r>
              <w:t>反映设备购置的及时性</w:t>
            </w:r>
          </w:p>
        </w:tc>
        <w:tc>
          <w:tcPr>
            <w:tcW w:w="1276" w:type="dxa"/>
            <w:tcBorders>
              <w:left w:val="single" w:sz="6" w:space="0" w:color="000000"/>
            </w:tcBorders>
            <w:vAlign w:val="center"/>
          </w:tcPr>
          <w:p>
            <w:pPr>
              <w:pStyle w:val="27"/>
            </w:pPr>
            <w:r>
              <w:t>及时</w:t>
            </w:r>
          </w:p>
        </w:tc>
        <w:tc>
          <w:tcPr>
            <w:tcW w:w="1843" w:type="dxa"/>
            <w:tcBorders>
              <w:left w:val="single" w:sz="6" w:space="0" w:color="000000"/>
            </w:tcBorders>
            <w:vAlign w:val="center"/>
          </w:tcPr>
          <w:p>
            <w:pPr>
              <w:pStyle w:val="27"/>
            </w:pPr>
            <w:r>
              <w:t>工作计划</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项目成本控制</w:t>
            </w:r>
          </w:p>
        </w:tc>
        <w:tc>
          <w:tcPr>
            <w:tcW w:w="2891" w:type="dxa"/>
            <w:tcBorders>
              <w:left w:val="single" w:sz="6" w:space="0" w:color="000000"/>
            </w:tcBorders>
            <w:vAlign w:val="center"/>
          </w:tcPr>
          <w:p>
            <w:pPr>
              <w:pStyle w:val="27"/>
            </w:pPr>
            <w:r>
              <w:t>反映项目成本控制情况</w:t>
            </w:r>
          </w:p>
        </w:tc>
        <w:tc>
          <w:tcPr>
            <w:tcW w:w="1276" w:type="dxa"/>
            <w:tcBorders>
              <w:left w:val="single" w:sz="6" w:space="0" w:color="000000"/>
            </w:tcBorders>
            <w:vAlign w:val="center"/>
          </w:tcPr>
          <w:p>
            <w:pPr>
              <w:pStyle w:val="27"/>
            </w:pPr>
            <w:r>
              <w:t>≤1.43万元</w:t>
            </w:r>
          </w:p>
        </w:tc>
        <w:tc>
          <w:tcPr>
            <w:tcW w:w="1843" w:type="dxa"/>
            <w:tcBorders>
              <w:left w:val="single" w:sz="6" w:space="0" w:color="000000"/>
            </w:tcBorders>
            <w:vAlign w:val="center"/>
          </w:tcPr>
          <w:p>
            <w:pPr>
              <w:pStyle w:val="27"/>
            </w:pPr>
            <w:r>
              <w:t>工作计划</w:t>
            </w:r>
          </w:p>
        </w:tc>
      </w:tr>
      <w:tr>
        <w:trPr>
          <w:trHeight w:val="369"/>
        </w:trPr>
        <w:tc>
          <w:tcPr>
            <w:tcW w:w="1276" w:type="dxa"/>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提升应急通信保障能力</w:t>
            </w:r>
          </w:p>
        </w:tc>
        <w:tc>
          <w:tcPr>
            <w:tcW w:w="2891" w:type="dxa"/>
            <w:tcBorders>
              <w:left w:val="single" w:sz="6" w:space="0" w:color="000000"/>
            </w:tcBorders>
            <w:vAlign w:val="center"/>
          </w:tcPr>
          <w:p>
            <w:pPr>
              <w:pStyle w:val="27"/>
            </w:pPr>
            <w:r>
              <w:t>反映对应急通信保障能力的提升作用</w:t>
            </w:r>
          </w:p>
        </w:tc>
        <w:tc>
          <w:tcPr>
            <w:tcW w:w="1276" w:type="dxa"/>
            <w:tcBorders>
              <w:left w:val="single" w:sz="6" w:space="0" w:color="000000"/>
            </w:tcBorders>
            <w:vAlign w:val="center"/>
          </w:tcPr>
          <w:p>
            <w:pPr>
              <w:pStyle w:val="27"/>
            </w:pPr>
            <w:r>
              <w:t>提升</w:t>
            </w:r>
          </w:p>
        </w:tc>
        <w:tc>
          <w:tcPr>
            <w:tcW w:w="1843" w:type="dxa"/>
            <w:tcBorders>
              <w:left w:val="single" w:sz="6" w:space="0" w:color="000000"/>
            </w:tcBorders>
            <w:vAlign w:val="center"/>
          </w:tcPr>
          <w:p>
            <w:pPr>
              <w:pStyle w:val="27"/>
            </w:pPr>
            <w:r>
              <w:t>工作计划</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使用人员满意度</w:t>
            </w:r>
          </w:p>
        </w:tc>
        <w:tc>
          <w:tcPr>
            <w:tcW w:w="2891" w:type="dxa"/>
            <w:tcBorders>
              <w:left w:val="single" w:sz="6" w:space="0" w:color="000000"/>
            </w:tcBorders>
            <w:vAlign w:val="center"/>
          </w:tcPr>
          <w:p>
            <w:pPr>
              <w:pStyle w:val="27"/>
            </w:pPr>
            <w:r>
              <w:t>反映使用人员的满意情况</w:t>
            </w:r>
          </w:p>
        </w:tc>
        <w:tc>
          <w:tcPr>
            <w:tcW w:w="1276" w:type="dxa"/>
            <w:tcBorders>
              <w:left w:val="single" w:sz="6" w:space="0" w:color="000000"/>
            </w:tcBorders>
            <w:vAlign w:val="center"/>
          </w:tcPr>
          <w:p>
            <w:pPr>
              <w:pStyle w:val="27"/>
            </w:pPr>
            <w:r>
              <w:t>≥90%</w:t>
            </w:r>
          </w:p>
        </w:tc>
        <w:tc>
          <w:tcPr>
            <w:tcW w:w="1843" w:type="dxa"/>
            <w:tcBorders>
              <w:left w:val="single" w:sz="6" w:space="0" w:color="000000"/>
            </w:tcBorders>
            <w:vAlign w:val="center"/>
          </w:tcPr>
          <w:p>
            <w:pPr>
              <w:pStyle w:val="27"/>
            </w:pPr>
            <w:r>
              <w:t>调查问卷</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8" w:name="_Toc_4_4_0000000011"/>
      <w:r>
        <w:rPr>
          <w:rFonts w:ascii="方正仿宋_GBK" w:eastAsia="方正仿宋_GBK" w:cs="方正仿宋_GBK" w:hAnsi="方正仿宋_GBK"/>
          <w:color w:val="000000"/>
          <w:sz w:val="28"/>
        </w:rPr>
        <w:t>8.廊财建【2021】126号关于提前下达2022年省级自然灾害救助专项资金绩效目标表</w:t>
      </w:r>
      <w:bookmarkEnd w:id="8"/>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13102322P00F3BX100117</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廊财建【2021】126号关于提前下达2022年省级自然灾害救助专项资金</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488460.00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488460.00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缴纳农村住房保险</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p>
        </w:tc>
        <w:tc>
          <w:tcPr>
            <w:tcW w:w="1587" w:type="dxa"/>
            <w:tcBorders>
              <w:left w:val="single" w:sz="6" w:space="0" w:color="000000"/>
            </w:tcBorders>
            <w:vAlign w:val="center"/>
          </w:tcPr>
          <w:p>
            <w:pPr>
              <w:pStyle w:val="28"/>
            </w:pPr>
            <w:r>
              <w:t>100%</w:t>
            </w:r>
          </w:p>
        </w:tc>
        <w:tc>
          <w:tcPr>
            <w:tcW w:w="1304" w:type="dxa"/>
            <w:tcBorders>
              <w:left w:val="single" w:sz="6" w:space="0" w:color="000000"/>
            </w:tcBorders>
            <w:vAlign w:val="center"/>
          </w:tcPr>
          <w:p>
            <w:pPr>
              <w:pStyle w:val="28"/>
            </w:pPr>
            <w:r>
              <w:t>100%</w:t>
            </w: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1.完成95516户农村住房保险缴纳工作。</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缴纳保险的户数</w:t>
            </w:r>
          </w:p>
        </w:tc>
        <w:tc>
          <w:tcPr>
            <w:tcW w:w="2891" w:type="dxa"/>
            <w:tcBorders>
              <w:left w:val="single" w:sz="6" w:space="0" w:color="000000"/>
            </w:tcBorders>
            <w:vAlign w:val="center"/>
          </w:tcPr>
          <w:p>
            <w:pPr>
              <w:pStyle w:val="27"/>
            </w:pPr>
            <w:r>
              <w:t>反映缴纳保险的户数</w:t>
            </w:r>
          </w:p>
        </w:tc>
        <w:tc>
          <w:tcPr>
            <w:tcW w:w="1276" w:type="dxa"/>
            <w:tcBorders>
              <w:left w:val="single" w:sz="6" w:space="0" w:color="000000"/>
            </w:tcBorders>
            <w:vAlign w:val="center"/>
          </w:tcPr>
          <w:p>
            <w:pPr>
              <w:pStyle w:val="27"/>
            </w:pPr>
            <w:r>
              <w:t>≥95516户</w:t>
            </w:r>
          </w:p>
        </w:tc>
        <w:tc>
          <w:tcPr>
            <w:tcW w:w="1843" w:type="dxa"/>
            <w:tcBorders>
              <w:left w:val="single" w:sz="6" w:space="0" w:color="000000"/>
            </w:tcBorders>
            <w:vAlign w:val="center"/>
          </w:tcPr>
          <w:p>
            <w:pPr>
              <w:pStyle w:val="27"/>
            </w:pPr>
            <w:r>
              <w:t>工作计划</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保险费用核算准确率</w:t>
            </w:r>
          </w:p>
        </w:tc>
        <w:tc>
          <w:tcPr>
            <w:tcW w:w="2891" w:type="dxa"/>
            <w:tcBorders>
              <w:left w:val="single" w:sz="6" w:space="0" w:color="000000"/>
            </w:tcBorders>
            <w:vAlign w:val="center"/>
          </w:tcPr>
          <w:p>
            <w:pPr>
              <w:pStyle w:val="27"/>
            </w:pPr>
            <w:r>
              <w:t>反映缴纳保险费用核算的准确性</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工作计划</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保险缴纳及时性</w:t>
            </w:r>
          </w:p>
        </w:tc>
        <w:tc>
          <w:tcPr>
            <w:tcW w:w="2891" w:type="dxa"/>
            <w:tcBorders>
              <w:left w:val="single" w:sz="6" w:space="0" w:color="000000"/>
            </w:tcBorders>
            <w:vAlign w:val="center"/>
          </w:tcPr>
          <w:p>
            <w:pPr>
              <w:pStyle w:val="27"/>
            </w:pPr>
            <w:r>
              <w:t>反映住房保险缴纳的及时性情况</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工作计划</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成本控制率</w:t>
            </w:r>
          </w:p>
        </w:tc>
        <w:tc>
          <w:tcPr>
            <w:tcW w:w="2891" w:type="dxa"/>
            <w:tcBorders>
              <w:left w:val="single" w:sz="6" w:space="0" w:color="000000"/>
            </w:tcBorders>
            <w:vAlign w:val="center"/>
          </w:tcPr>
          <w:p>
            <w:pPr>
              <w:pStyle w:val="27"/>
            </w:pPr>
            <w:r>
              <w:t>反映项目的成本控制情况，成本控制率=实际成本/计划成本*100%</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工作计划</w:t>
            </w:r>
          </w:p>
        </w:tc>
      </w:tr>
      <w:tr>
        <w:trPr>
          <w:trHeight w:val="369"/>
        </w:trPr>
        <w:tc>
          <w:tcPr>
            <w:tcW w:w="1276" w:type="dxa"/>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提升群众防灾救灾能力</w:t>
            </w:r>
          </w:p>
        </w:tc>
        <w:tc>
          <w:tcPr>
            <w:tcW w:w="2891" w:type="dxa"/>
            <w:tcBorders>
              <w:left w:val="single" w:sz="6" w:space="0" w:color="000000"/>
            </w:tcBorders>
            <w:vAlign w:val="center"/>
          </w:tcPr>
          <w:p>
            <w:pPr>
              <w:pStyle w:val="27"/>
            </w:pPr>
            <w:r>
              <w:t>反映对群众防灾救灾能力的提升作用</w:t>
            </w:r>
          </w:p>
        </w:tc>
        <w:tc>
          <w:tcPr>
            <w:tcW w:w="1276" w:type="dxa"/>
            <w:tcBorders>
              <w:left w:val="single" w:sz="6" w:space="0" w:color="000000"/>
            </w:tcBorders>
            <w:vAlign w:val="center"/>
          </w:tcPr>
          <w:p>
            <w:pPr>
              <w:pStyle w:val="27"/>
            </w:pPr>
            <w:r>
              <w:t>提升</w:t>
            </w:r>
          </w:p>
        </w:tc>
        <w:tc>
          <w:tcPr>
            <w:tcW w:w="1843" w:type="dxa"/>
            <w:tcBorders>
              <w:left w:val="single" w:sz="6" w:space="0" w:color="000000"/>
            </w:tcBorders>
            <w:vAlign w:val="center"/>
          </w:tcPr>
          <w:p>
            <w:pPr>
              <w:pStyle w:val="27"/>
            </w:pPr>
            <w:r>
              <w:t>工作计划</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服务对象满意度</w:t>
            </w:r>
          </w:p>
        </w:tc>
        <w:tc>
          <w:tcPr>
            <w:tcW w:w="2891" w:type="dxa"/>
            <w:tcBorders>
              <w:left w:val="single" w:sz="6" w:space="0" w:color="000000"/>
            </w:tcBorders>
            <w:vAlign w:val="center"/>
          </w:tcPr>
          <w:p>
            <w:pPr>
              <w:pStyle w:val="27"/>
            </w:pPr>
            <w:r>
              <w:t>反映服务对象满意度情况</w:t>
            </w:r>
          </w:p>
        </w:tc>
        <w:tc>
          <w:tcPr>
            <w:tcW w:w="1276" w:type="dxa"/>
            <w:tcBorders>
              <w:left w:val="single" w:sz="6" w:space="0" w:color="000000"/>
            </w:tcBorders>
            <w:vAlign w:val="center"/>
          </w:tcPr>
          <w:p>
            <w:pPr>
              <w:pStyle w:val="27"/>
            </w:pPr>
            <w:r>
              <w:t>≥95%</w:t>
            </w:r>
          </w:p>
        </w:tc>
        <w:tc>
          <w:tcPr>
            <w:tcW w:w="1843" w:type="dxa"/>
            <w:tcBorders>
              <w:left w:val="single" w:sz="6" w:space="0" w:color="000000"/>
            </w:tcBorders>
            <w:vAlign w:val="center"/>
          </w:tcPr>
          <w:p>
            <w:pPr>
              <w:pStyle w:val="27"/>
            </w:pPr>
            <w:r>
              <w:t>调查问卷</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9" w:name="_Toc_4_4_0000000012"/>
      <w:r>
        <w:rPr>
          <w:rFonts w:ascii="方正仿宋_GBK" w:eastAsia="方正仿宋_GBK" w:cs="方正仿宋_GBK" w:hAnsi="方正仿宋_GBK"/>
          <w:color w:val="000000"/>
          <w:sz w:val="28"/>
        </w:rPr>
        <w:t>9.农村住房保险资金绩效目标表</w:t>
      </w:r>
      <w:bookmarkEnd w:id="9"/>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13102322P006275100017</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农村住房保险资金</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382000.00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382000.00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缴纳农村住房保险，保障和改善民生，创新政府减灾救灾机制，发挥财政资金效应放大的杠杆作用，有效提升政府灾害救助水平和农村受灾群众住房重建保障能力。</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p>
        </w:tc>
        <w:tc>
          <w:tcPr>
            <w:tcW w:w="1587" w:type="dxa"/>
            <w:tcBorders>
              <w:left w:val="single" w:sz="6" w:space="0" w:color="000000"/>
            </w:tcBorders>
            <w:vAlign w:val="center"/>
          </w:tcPr>
          <w:p>
            <w:pPr>
              <w:pStyle w:val="28"/>
            </w:pPr>
            <w:r>
              <w:t>100%</w:t>
            </w:r>
          </w:p>
        </w:tc>
        <w:tc>
          <w:tcPr>
            <w:tcW w:w="1304" w:type="dxa"/>
            <w:tcBorders>
              <w:left w:val="single" w:sz="6" w:space="0" w:color="000000"/>
            </w:tcBorders>
            <w:vAlign w:val="center"/>
          </w:tcPr>
          <w:p>
            <w:pPr>
              <w:pStyle w:val="28"/>
            </w:pPr>
            <w:r>
              <w:t>100%</w:t>
            </w: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1.完成95516户农村住房保险缴纳工作。</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缴纳保险的户数</w:t>
            </w:r>
          </w:p>
        </w:tc>
        <w:tc>
          <w:tcPr>
            <w:tcW w:w="2891" w:type="dxa"/>
            <w:tcBorders>
              <w:left w:val="single" w:sz="6" w:space="0" w:color="000000"/>
            </w:tcBorders>
            <w:vAlign w:val="center"/>
          </w:tcPr>
          <w:p>
            <w:pPr>
              <w:pStyle w:val="27"/>
            </w:pPr>
            <w:r>
              <w:t>反映缴纳保险的户数</w:t>
            </w:r>
          </w:p>
        </w:tc>
        <w:tc>
          <w:tcPr>
            <w:tcW w:w="1276" w:type="dxa"/>
            <w:tcBorders>
              <w:left w:val="single" w:sz="6" w:space="0" w:color="000000"/>
            </w:tcBorders>
            <w:vAlign w:val="center"/>
          </w:tcPr>
          <w:p>
            <w:pPr>
              <w:pStyle w:val="27"/>
            </w:pPr>
            <w:r>
              <w:t>≥95516户</w:t>
            </w:r>
          </w:p>
        </w:tc>
        <w:tc>
          <w:tcPr>
            <w:tcW w:w="1843" w:type="dxa"/>
            <w:tcBorders>
              <w:left w:val="single" w:sz="6" w:space="0" w:color="000000"/>
            </w:tcBorders>
            <w:vAlign w:val="center"/>
          </w:tcPr>
          <w:p>
            <w:pPr>
              <w:pStyle w:val="27"/>
            </w:pPr>
            <w:r>
              <w:t>工作计划</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保险费用核算准确率</w:t>
            </w:r>
          </w:p>
        </w:tc>
        <w:tc>
          <w:tcPr>
            <w:tcW w:w="2891" w:type="dxa"/>
            <w:tcBorders>
              <w:left w:val="single" w:sz="6" w:space="0" w:color="000000"/>
            </w:tcBorders>
            <w:vAlign w:val="center"/>
          </w:tcPr>
          <w:p>
            <w:pPr>
              <w:pStyle w:val="27"/>
            </w:pPr>
            <w:r>
              <w:t>反映缴纳保险费用核算的准确性</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工作计划</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保险缴纳及时性</w:t>
            </w:r>
          </w:p>
        </w:tc>
        <w:tc>
          <w:tcPr>
            <w:tcW w:w="2891" w:type="dxa"/>
            <w:tcBorders>
              <w:left w:val="single" w:sz="6" w:space="0" w:color="000000"/>
            </w:tcBorders>
            <w:vAlign w:val="center"/>
          </w:tcPr>
          <w:p>
            <w:pPr>
              <w:pStyle w:val="27"/>
            </w:pPr>
            <w:r>
              <w:t>反映住房保险缴纳的及时性情况</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工作计划</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成本控制率</w:t>
            </w:r>
          </w:p>
        </w:tc>
        <w:tc>
          <w:tcPr>
            <w:tcW w:w="2891" w:type="dxa"/>
            <w:tcBorders>
              <w:left w:val="single" w:sz="6" w:space="0" w:color="000000"/>
            </w:tcBorders>
            <w:vAlign w:val="center"/>
          </w:tcPr>
          <w:p>
            <w:pPr>
              <w:pStyle w:val="27"/>
            </w:pPr>
            <w:r>
              <w:t>反映项目的成本控制情况，成本控制率=实际成本/计划成本*100%</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工作计划</w:t>
            </w:r>
          </w:p>
        </w:tc>
      </w:tr>
      <w:tr>
        <w:trPr>
          <w:trHeight w:val="369"/>
        </w:trPr>
        <w:tc>
          <w:tcPr>
            <w:tcW w:w="1276" w:type="dxa"/>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提升群众防灾救灾能力</w:t>
            </w:r>
          </w:p>
        </w:tc>
        <w:tc>
          <w:tcPr>
            <w:tcW w:w="2891" w:type="dxa"/>
            <w:tcBorders>
              <w:left w:val="single" w:sz="6" w:space="0" w:color="000000"/>
            </w:tcBorders>
            <w:vAlign w:val="center"/>
          </w:tcPr>
          <w:p>
            <w:pPr>
              <w:pStyle w:val="27"/>
            </w:pPr>
            <w:r>
              <w:t>反映对群众防灾救灾能力的提升作用</w:t>
            </w:r>
          </w:p>
        </w:tc>
        <w:tc>
          <w:tcPr>
            <w:tcW w:w="1276" w:type="dxa"/>
            <w:tcBorders>
              <w:left w:val="single" w:sz="6" w:space="0" w:color="000000"/>
            </w:tcBorders>
            <w:vAlign w:val="center"/>
          </w:tcPr>
          <w:p>
            <w:pPr>
              <w:pStyle w:val="27"/>
            </w:pPr>
            <w:r>
              <w:t>提升</w:t>
            </w:r>
          </w:p>
        </w:tc>
        <w:tc>
          <w:tcPr>
            <w:tcW w:w="1843" w:type="dxa"/>
            <w:tcBorders>
              <w:left w:val="single" w:sz="6" w:space="0" w:color="000000"/>
            </w:tcBorders>
            <w:vAlign w:val="center"/>
          </w:tcPr>
          <w:p>
            <w:pPr>
              <w:pStyle w:val="27"/>
            </w:pPr>
            <w:r>
              <w:t>工作计划</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服务对象满意度</w:t>
            </w:r>
          </w:p>
        </w:tc>
        <w:tc>
          <w:tcPr>
            <w:tcW w:w="2891" w:type="dxa"/>
            <w:tcBorders>
              <w:left w:val="single" w:sz="6" w:space="0" w:color="000000"/>
            </w:tcBorders>
            <w:vAlign w:val="center"/>
          </w:tcPr>
          <w:p>
            <w:pPr>
              <w:pStyle w:val="27"/>
            </w:pPr>
            <w:r>
              <w:t>反映服务对象满意度情况</w:t>
            </w:r>
          </w:p>
        </w:tc>
        <w:tc>
          <w:tcPr>
            <w:tcW w:w="1276" w:type="dxa"/>
            <w:tcBorders>
              <w:left w:val="single" w:sz="6" w:space="0" w:color="000000"/>
            </w:tcBorders>
            <w:vAlign w:val="center"/>
          </w:tcPr>
          <w:p>
            <w:pPr>
              <w:pStyle w:val="27"/>
            </w:pPr>
            <w:r>
              <w:t>≥95%</w:t>
            </w:r>
          </w:p>
        </w:tc>
        <w:tc>
          <w:tcPr>
            <w:tcW w:w="1843" w:type="dxa"/>
            <w:tcBorders>
              <w:left w:val="single" w:sz="6" w:space="0" w:color="000000"/>
            </w:tcBorders>
            <w:vAlign w:val="center"/>
          </w:tcPr>
          <w:p>
            <w:pPr>
              <w:pStyle w:val="27"/>
            </w:pPr>
            <w:r>
              <w:t>问卷调查</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10" w:name="_Toc_4_4_0000000013"/>
      <w:r>
        <w:rPr>
          <w:rFonts w:ascii="方正仿宋_GBK" w:eastAsia="方正仿宋_GBK" w:cs="方正仿宋_GBK" w:hAnsi="方正仿宋_GBK"/>
          <w:color w:val="000000"/>
          <w:sz w:val="28"/>
        </w:rPr>
        <w:t>10.聘请第三方服务机构对重点企业进行隐患排查及重点时段驻厂服务费绩效目标表</w:t>
      </w:r>
      <w:bookmarkEnd w:id="10"/>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13102322P006288100023</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聘请第三方服务机构对重点企业进行隐患排查及重点时段驻厂服务费</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50000.00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50000.00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主要用于以政府购买服务方式聘请第三方服务机构对重点企业进行隐患排查及重点时段驻厂。</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p>
        </w:tc>
        <w:tc>
          <w:tcPr>
            <w:tcW w:w="1587" w:type="dxa"/>
            <w:tcBorders>
              <w:left w:val="single" w:sz="6" w:space="0" w:color="000000"/>
            </w:tcBorders>
            <w:vAlign w:val="center"/>
          </w:tcPr>
          <w:p>
            <w:pPr>
              <w:pStyle w:val="28"/>
            </w:pPr>
            <w:r>
              <w:t>100%</w:t>
            </w:r>
          </w:p>
        </w:tc>
        <w:tc>
          <w:tcPr>
            <w:tcW w:w="1304" w:type="dxa"/>
            <w:tcBorders>
              <w:left w:val="single" w:sz="6" w:space="0" w:color="000000"/>
            </w:tcBorders>
            <w:vAlign w:val="center"/>
          </w:tcPr>
          <w:p>
            <w:pPr>
              <w:pStyle w:val="28"/>
            </w:pPr>
            <w:r>
              <w:t>100%</w:t>
            </w: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1.通过项目的开展，年度内完成专项整治行动及隐患排查，确保全县安全生产形势持续稳定。</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督导次数</w:t>
            </w:r>
          </w:p>
        </w:tc>
        <w:tc>
          <w:tcPr>
            <w:tcW w:w="2891" w:type="dxa"/>
            <w:tcBorders>
              <w:left w:val="single" w:sz="6" w:space="0" w:color="000000"/>
            </w:tcBorders>
            <w:vAlign w:val="center"/>
          </w:tcPr>
          <w:p>
            <w:pPr>
              <w:pStyle w:val="27"/>
            </w:pPr>
            <w:r>
              <w:t>日常安全生产监察督导次数</w:t>
            </w:r>
          </w:p>
        </w:tc>
        <w:tc>
          <w:tcPr>
            <w:tcW w:w="1276" w:type="dxa"/>
            <w:tcBorders>
              <w:left w:val="single" w:sz="6" w:space="0" w:color="000000"/>
            </w:tcBorders>
            <w:vAlign w:val="center"/>
          </w:tcPr>
          <w:p>
            <w:pPr>
              <w:pStyle w:val="27"/>
            </w:pPr>
            <w:r>
              <w:t>≥2次</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检查比率</w:t>
            </w:r>
          </w:p>
        </w:tc>
        <w:tc>
          <w:tcPr>
            <w:tcW w:w="2891" w:type="dxa"/>
            <w:tcBorders>
              <w:left w:val="single" w:sz="6" w:space="0" w:color="000000"/>
            </w:tcBorders>
            <w:vAlign w:val="center"/>
          </w:tcPr>
          <w:p>
            <w:pPr>
              <w:pStyle w:val="27"/>
            </w:pPr>
            <w:r>
              <w:t>考察执法检查企业家数与企业数量占比率</w:t>
            </w:r>
          </w:p>
        </w:tc>
        <w:tc>
          <w:tcPr>
            <w:tcW w:w="1276" w:type="dxa"/>
            <w:tcBorders>
              <w:left w:val="single" w:sz="6" w:space="0" w:color="000000"/>
            </w:tcBorders>
            <w:vAlign w:val="center"/>
          </w:tcPr>
          <w:p>
            <w:pPr>
              <w:pStyle w:val="27"/>
            </w:pPr>
            <w:r>
              <w:t>≥95%</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及时率</w:t>
            </w:r>
          </w:p>
        </w:tc>
        <w:tc>
          <w:tcPr>
            <w:tcW w:w="2891" w:type="dxa"/>
            <w:tcBorders>
              <w:left w:val="single" w:sz="6" w:space="0" w:color="000000"/>
            </w:tcBorders>
            <w:vAlign w:val="center"/>
          </w:tcPr>
          <w:p>
            <w:pPr>
              <w:pStyle w:val="27"/>
            </w:pPr>
            <w:r>
              <w:t>考察项目对企业隐患排查及时率</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单位成本</w:t>
            </w:r>
          </w:p>
        </w:tc>
        <w:tc>
          <w:tcPr>
            <w:tcW w:w="2891" w:type="dxa"/>
            <w:tcBorders>
              <w:left w:val="single" w:sz="6" w:space="0" w:color="000000"/>
            </w:tcBorders>
            <w:vAlign w:val="center"/>
          </w:tcPr>
          <w:p>
            <w:pPr>
              <w:pStyle w:val="27"/>
            </w:pPr>
            <w:r>
              <w:t>考察每次监察检查成本控制情况</w:t>
            </w:r>
          </w:p>
        </w:tc>
        <w:tc>
          <w:tcPr>
            <w:tcW w:w="1276" w:type="dxa"/>
            <w:tcBorders>
              <w:left w:val="single" w:sz="6" w:space="0" w:color="000000"/>
            </w:tcBorders>
            <w:vAlign w:val="center"/>
          </w:tcPr>
          <w:p>
            <w:pPr>
              <w:pStyle w:val="27"/>
            </w:pPr>
            <w:r>
              <w:t>≤2.5万元/次</w:t>
            </w:r>
          </w:p>
        </w:tc>
        <w:tc>
          <w:tcPr>
            <w:tcW w:w="1843" w:type="dxa"/>
            <w:tcBorders>
              <w:left w:val="single" w:sz="6" w:space="0" w:color="000000"/>
            </w:tcBorders>
            <w:vAlign w:val="center"/>
          </w:tcPr>
          <w:p>
            <w:pPr>
              <w:pStyle w:val="27"/>
            </w:pPr>
            <w:r>
              <w:t>实施方案</w:t>
            </w:r>
          </w:p>
        </w:tc>
      </w:tr>
      <w:tr>
        <w:trPr>
          <w:trHeight w:val="369"/>
        </w:trPr>
        <w:tc>
          <w:tcPr>
            <w:tcW w:w="1276" w:type="dxa"/>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减少各类安全隐患</w:t>
            </w:r>
          </w:p>
        </w:tc>
        <w:tc>
          <w:tcPr>
            <w:tcW w:w="2891" w:type="dxa"/>
            <w:tcBorders>
              <w:left w:val="single" w:sz="6" w:space="0" w:color="000000"/>
            </w:tcBorders>
            <w:vAlign w:val="center"/>
          </w:tcPr>
          <w:p>
            <w:pPr>
              <w:pStyle w:val="27"/>
            </w:pPr>
            <w:r>
              <w:t>减少各类安全隐患</w:t>
            </w:r>
          </w:p>
        </w:tc>
        <w:tc>
          <w:tcPr>
            <w:tcW w:w="1276" w:type="dxa"/>
            <w:tcBorders>
              <w:left w:val="single" w:sz="6" w:space="0" w:color="000000"/>
            </w:tcBorders>
            <w:vAlign w:val="center"/>
          </w:tcPr>
          <w:p>
            <w:pPr>
              <w:pStyle w:val="27"/>
            </w:pPr>
            <w:r>
              <w:t>减少</w:t>
            </w:r>
          </w:p>
        </w:tc>
        <w:tc>
          <w:tcPr>
            <w:tcW w:w="1843" w:type="dxa"/>
            <w:tcBorders>
              <w:left w:val="single" w:sz="6" w:space="0" w:color="000000"/>
            </w:tcBorders>
            <w:vAlign w:val="center"/>
          </w:tcPr>
          <w:p>
            <w:pPr>
              <w:pStyle w:val="27"/>
            </w:pPr>
            <w:r>
              <w:t>工作总结</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企业满意度</w:t>
            </w:r>
          </w:p>
        </w:tc>
        <w:tc>
          <w:tcPr>
            <w:tcW w:w="2891" w:type="dxa"/>
            <w:tcBorders>
              <w:left w:val="single" w:sz="6" w:space="0" w:color="000000"/>
            </w:tcBorders>
            <w:vAlign w:val="center"/>
          </w:tcPr>
          <w:p>
            <w:pPr>
              <w:pStyle w:val="27"/>
            </w:pPr>
            <w:r>
              <w:t>企业满意度</w:t>
            </w:r>
          </w:p>
        </w:tc>
        <w:tc>
          <w:tcPr>
            <w:tcW w:w="1276" w:type="dxa"/>
            <w:tcBorders>
              <w:left w:val="single" w:sz="6" w:space="0" w:color="000000"/>
            </w:tcBorders>
            <w:vAlign w:val="center"/>
          </w:tcPr>
          <w:p>
            <w:pPr>
              <w:pStyle w:val="27"/>
            </w:pPr>
            <w:r>
              <w:t>≥95%</w:t>
            </w:r>
          </w:p>
        </w:tc>
        <w:tc>
          <w:tcPr>
            <w:tcW w:w="1843" w:type="dxa"/>
            <w:tcBorders>
              <w:left w:val="single" w:sz="6" w:space="0" w:color="000000"/>
            </w:tcBorders>
            <w:vAlign w:val="center"/>
          </w:tcPr>
          <w:p>
            <w:pPr>
              <w:pStyle w:val="27"/>
            </w:pPr>
            <w:r>
              <w:t>问卷调查</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11" w:name="_Toc_4_4_0000000014"/>
      <w:r>
        <w:rPr>
          <w:rFonts w:ascii="方正仿宋_GBK" w:eastAsia="方正仿宋_GBK" w:cs="方正仿宋_GBK" w:hAnsi="方正仿宋_GBK"/>
          <w:color w:val="000000"/>
          <w:sz w:val="28"/>
        </w:rPr>
        <w:t>11.聘请专家监察督导检查绩效目标表</w:t>
      </w:r>
      <w:bookmarkEnd w:id="11"/>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13102322P006285100022</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聘请专家监察督导检查</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20000.00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20000.00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用于聘请专家参与各类专项执法检查、隐患排查及事故调查活动、执法业务培训。</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r>
              <w:t>20%</w:t>
            </w:r>
          </w:p>
        </w:tc>
        <w:tc>
          <w:tcPr>
            <w:tcW w:w="1587" w:type="dxa"/>
            <w:tcBorders>
              <w:left w:val="single" w:sz="6" w:space="0" w:color="000000"/>
            </w:tcBorders>
            <w:vAlign w:val="center"/>
          </w:tcPr>
          <w:p>
            <w:pPr>
              <w:pStyle w:val="28"/>
            </w:pPr>
            <w:r>
              <w:t>40%</w:t>
            </w:r>
          </w:p>
        </w:tc>
        <w:tc>
          <w:tcPr>
            <w:tcW w:w="1304" w:type="dxa"/>
            <w:tcBorders>
              <w:left w:val="single" w:sz="6" w:space="0" w:color="000000"/>
            </w:tcBorders>
            <w:vAlign w:val="center"/>
          </w:tcPr>
          <w:p>
            <w:pPr>
              <w:pStyle w:val="28"/>
            </w:pPr>
            <w:r>
              <w:t>80%</w:t>
            </w: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1.通过项目的开展，完成一次对辖区内各类重点企业检查，减少安全事故的发生。</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检查次数</w:t>
            </w:r>
          </w:p>
        </w:tc>
        <w:tc>
          <w:tcPr>
            <w:tcW w:w="2891" w:type="dxa"/>
            <w:tcBorders>
              <w:left w:val="single" w:sz="6" w:space="0" w:color="000000"/>
            </w:tcBorders>
            <w:vAlign w:val="center"/>
          </w:tcPr>
          <w:p>
            <w:pPr>
              <w:pStyle w:val="27"/>
            </w:pPr>
            <w:r>
              <w:t>考察项目年度内检查次数</w:t>
            </w:r>
          </w:p>
        </w:tc>
        <w:tc>
          <w:tcPr>
            <w:tcW w:w="1276" w:type="dxa"/>
            <w:tcBorders>
              <w:left w:val="single" w:sz="6" w:space="0" w:color="000000"/>
            </w:tcBorders>
            <w:vAlign w:val="center"/>
          </w:tcPr>
          <w:p>
            <w:pPr>
              <w:pStyle w:val="27"/>
            </w:pPr>
            <w:r>
              <w:t>1次</w:t>
            </w:r>
          </w:p>
        </w:tc>
        <w:tc>
          <w:tcPr>
            <w:tcW w:w="1843" w:type="dxa"/>
            <w:tcBorders>
              <w:left w:val="single" w:sz="6" w:space="0" w:color="000000"/>
            </w:tcBorders>
            <w:vAlign w:val="center"/>
          </w:tcPr>
          <w:p>
            <w:pPr>
              <w:pStyle w:val="27"/>
            </w:pPr>
            <w:r>
              <w:t>年度监督检查计划及各类专项执法文件</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检查覆盖率</w:t>
            </w:r>
          </w:p>
        </w:tc>
        <w:tc>
          <w:tcPr>
            <w:tcW w:w="2891" w:type="dxa"/>
            <w:tcBorders>
              <w:left w:val="single" w:sz="6" w:space="0" w:color="000000"/>
            </w:tcBorders>
            <w:vAlign w:val="center"/>
          </w:tcPr>
          <w:p>
            <w:pPr>
              <w:pStyle w:val="27"/>
            </w:pPr>
            <w:r>
              <w:t>考察项目域内覆盖率</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年度监督检查计划及各类专项执法文件</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及时性</w:t>
            </w:r>
          </w:p>
        </w:tc>
        <w:tc>
          <w:tcPr>
            <w:tcW w:w="2891" w:type="dxa"/>
            <w:tcBorders>
              <w:left w:val="single" w:sz="6" w:space="0" w:color="000000"/>
            </w:tcBorders>
            <w:vAlign w:val="center"/>
          </w:tcPr>
          <w:p>
            <w:pPr>
              <w:pStyle w:val="27"/>
            </w:pPr>
            <w:r>
              <w:t>考察项目能否在12月底前完成</w:t>
            </w:r>
          </w:p>
        </w:tc>
        <w:tc>
          <w:tcPr>
            <w:tcW w:w="1276" w:type="dxa"/>
            <w:tcBorders>
              <w:left w:val="single" w:sz="6" w:space="0" w:color="000000"/>
            </w:tcBorders>
            <w:vAlign w:val="center"/>
          </w:tcPr>
          <w:p>
            <w:pPr>
              <w:pStyle w:val="27"/>
            </w:pPr>
            <w:r>
              <w:t>≤12月</w:t>
            </w:r>
          </w:p>
        </w:tc>
        <w:tc>
          <w:tcPr>
            <w:tcW w:w="1843" w:type="dxa"/>
            <w:tcBorders>
              <w:left w:val="single" w:sz="6" w:space="0" w:color="000000"/>
            </w:tcBorders>
            <w:vAlign w:val="center"/>
          </w:tcPr>
          <w:p>
            <w:pPr>
              <w:pStyle w:val="27"/>
            </w:pPr>
            <w:r>
              <w:t>年度监督检查计划及各类专项执法文件</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单位成本</w:t>
            </w:r>
          </w:p>
        </w:tc>
        <w:tc>
          <w:tcPr>
            <w:tcW w:w="2891" w:type="dxa"/>
            <w:tcBorders>
              <w:left w:val="single" w:sz="6" w:space="0" w:color="000000"/>
            </w:tcBorders>
            <w:vAlign w:val="center"/>
          </w:tcPr>
          <w:p>
            <w:pPr>
              <w:pStyle w:val="27"/>
            </w:pPr>
            <w:r>
              <w:t>考察项目每次检查成本控制情况</w:t>
            </w:r>
          </w:p>
        </w:tc>
        <w:tc>
          <w:tcPr>
            <w:tcW w:w="1276" w:type="dxa"/>
            <w:tcBorders>
              <w:left w:val="single" w:sz="6" w:space="0" w:color="000000"/>
            </w:tcBorders>
            <w:vAlign w:val="center"/>
          </w:tcPr>
          <w:p>
            <w:pPr>
              <w:pStyle w:val="27"/>
            </w:pPr>
            <w:r>
              <w:t>≤5万/次</w:t>
            </w:r>
          </w:p>
        </w:tc>
        <w:tc>
          <w:tcPr>
            <w:tcW w:w="1843" w:type="dxa"/>
            <w:tcBorders>
              <w:left w:val="single" w:sz="6" w:space="0" w:color="000000"/>
            </w:tcBorders>
            <w:vAlign w:val="center"/>
          </w:tcPr>
          <w:p>
            <w:pPr>
              <w:pStyle w:val="27"/>
            </w:pPr>
            <w:r>
              <w:t>年度监督检查计划及各类专项执法文件</w:t>
            </w:r>
          </w:p>
        </w:tc>
      </w:tr>
      <w:tr>
        <w:trPr>
          <w:trHeight w:val="369"/>
        </w:trPr>
        <w:tc>
          <w:tcPr>
            <w:tcW w:w="1276" w:type="dxa"/>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减少事故发生</w:t>
            </w:r>
          </w:p>
        </w:tc>
        <w:tc>
          <w:tcPr>
            <w:tcW w:w="2891" w:type="dxa"/>
            <w:tcBorders>
              <w:left w:val="single" w:sz="6" w:space="0" w:color="000000"/>
            </w:tcBorders>
            <w:vAlign w:val="center"/>
          </w:tcPr>
          <w:p>
            <w:pPr>
              <w:pStyle w:val="27"/>
            </w:pPr>
            <w:r>
              <w:t>减少各类安全隐患</w:t>
            </w:r>
          </w:p>
        </w:tc>
        <w:tc>
          <w:tcPr>
            <w:tcW w:w="1276" w:type="dxa"/>
            <w:tcBorders>
              <w:left w:val="single" w:sz="6" w:space="0" w:color="000000"/>
            </w:tcBorders>
            <w:vAlign w:val="center"/>
          </w:tcPr>
          <w:p>
            <w:pPr>
              <w:pStyle w:val="27"/>
            </w:pPr>
            <w:r>
              <w:t>减少</w:t>
            </w:r>
          </w:p>
        </w:tc>
        <w:tc>
          <w:tcPr>
            <w:tcW w:w="1843" w:type="dxa"/>
            <w:tcBorders>
              <w:left w:val="single" w:sz="6" w:space="0" w:color="000000"/>
            </w:tcBorders>
            <w:vAlign w:val="center"/>
          </w:tcPr>
          <w:p>
            <w:pPr>
              <w:pStyle w:val="27"/>
            </w:pPr>
            <w:r>
              <w:t>工作总结</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企业满意度</w:t>
            </w:r>
          </w:p>
        </w:tc>
        <w:tc>
          <w:tcPr>
            <w:tcW w:w="2891" w:type="dxa"/>
            <w:tcBorders>
              <w:left w:val="single" w:sz="6" w:space="0" w:color="000000"/>
            </w:tcBorders>
            <w:vAlign w:val="center"/>
          </w:tcPr>
          <w:p>
            <w:pPr>
              <w:pStyle w:val="27"/>
            </w:pPr>
            <w:r>
              <w:t>企业满意度</w:t>
            </w:r>
          </w:p>
        </w:tc>
        <w:tc>
          <w:tcPr>
            <w:tcW w:w="1276" w:type="dxa"/>
            <w:tcBorders>
              <w:left w:val="single" w:sz="6" w:space="0" w:color="000000"/>
            </w:tcBorders>
            <w:vAlign w:val="center"/>
          </w:tcPr>
          <w:p>
            <w:pPr>
              <w:pStyle w:val="27"/>
            </w:pPr>
            <w:r>
              <w:t>≥90%</w:t>
            </w:r>
          </w:p>
        </w:tc>
        <w:tc>
          <w:tcPr>
            <w:tcW w:w="1843" w:type="dxa"/>
            <w:tcBorders>
              <w:left w:val="single" w:sz="6" w:space="0" w:color="000000"/>
            </w:tcBorders>
            <w:vAlign w:val="center"/>
          </w:tcPr>
          <w:p>
            <w:pPr>
              <w:pStyle w:val="27"/>
            </w:pPr>
            <w:r>
              <w:t>问卷调查</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12" w:name="_Toc_4_4_0000000015"/>
      <w:r>
        <w:rPr>
          <w:rFonts w:ascii="方正仿宋_GBK" w:eastAsia="方正仿宋_GBK" w:cs="方正仿宋_GBK" w:hAnsi="方正仿宋_GBK"/>
          <w:color w:val="000000"/>
          <w:sz w:val="28"/>
        </w:rPr>
        <w:t>12.生产安全事故应急预案演练绩效目标表</w:t>
      </w:r>
      <w:bookmarkEnd w:id="12"/>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13102322P00628010002M</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生产安全事故应急预案演练</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100000.00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100000.00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生产安全事故应急演练</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p>
        </w:tc>
        <w:tc>
          <w:tcPr>
            <w:tcW w:w="1587" w:type="dxa"/>
            <w:tcBorders>
              <w:left w:val="single" w:sz="6" w:space="0" w:color="000000"/>
            </w:tcBorders>
            <w:vAlign w:val="center"/>
          </w:tcPr>
          <w:p>
            <w:pPr>
              <w:pStyle w:val="28"/>
            </w:pPr>
          </w:p>
        </w:tc>
        <w:tc>
          <w:tcPr>
            <w:tcW w:w="1304" w:type="dxa"/>
            <w:tcBorders>
              <w:left w:val="single" w:sz="6" w:space="0" w:color="000000"/>
            </w:tcBorders>
            <w:vAlign w:val="center"/>
          </w:tcPr>
          <w:p>
            <w:pPr>
              <w:pStyle w:val="28"/>
            </w:pPr>
            <w:r>
              <w:t>50%</w:t>
            </w:r>
          </w:p>
        </w:tc>
        <w:tc>
          <w:tcPr>
            <w:tcW w:w="3118" w:type="dxa"/>
            <w:gridSpan w:val="2"/>
            <w:tcBorders>
              <w:left w:val="single" w:sz="6" w:space="0" w:color="000000"/>
            </w:tcBorders>
            <w:vAlign w:val="center"/>
          </w:tcPr>
          <w:p>
            <w:pPr>
              <w:pStyle w:val="28"/>
            </w:pPr>
            <w:r>
              <w:t>50%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1.通过项目的开展，年度内及时完成2次演练，锻炼和提高应急救援队伍抢险救灾实战能力，磨合机制，提高各</w:t>
            </w:r>
            <w:r>
              <w:rPr>
                <w:rFonts w:hint="eastAsia"/>
                <w:lang w:eastAsia="zh-CN"/>
              </w:rPr>
              <w:t>单位</w:t>
            </w:r>
            <w:r>
              <w:t>的协调配合能力，完善应急管理机制和应急处置程序。</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演练次数</w:t>
            </w:r>
          </w:p>
        </w:tc>
        <w:tc>
          <w:tcPr>
            <w:tcW w:w="2891" w:type="dxa"/>
            <w:tcBorders>
              <w:left w:val="single" w:sz="6" w:space="0" w:color="000000"/>
            </w:tcBorders>
            <w:vAlign w:val="center"/>
          </w:tcPr>
          <w:p>
            <w:pPr>
              <w:pStyle w:val="27"/>
            </w:pPr>
            <w:r>
              <w:t>开展演练次数</w:t>
            </w:r>
          </w:p>
        </w:tc>
        <w:tc>
          <w:tcPr>
            <w:tcW w:w="1276" w:type="dxa"/>
            <w:tcBorders>
              <w:left w:val="single" w:sz="6" w:space="0" w:color="000000"/>
            </w:tcBorders>
            <w:vAlign w:val="center"/>
          </w:tcPr>
          <w:p>
            <w:pPr>
              <w:pStyle w:val="27"/>
            </w:pPr>
            <w:r>
              <w:t>2次数</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应急演练达标率</w:t>
            </w:r>
          </w:p>
        </w:tc>
        <w:tc>
          <w:tcPr>
            <w:tcW w:w="2891" w:type="dxa"/>
            <w:tcBorders>
              <w:left w:val="single" w:sz="6" w:space="0" w:color="000000"/>
            </w:tcBorders>
            <w:vAlign w:val="center"/>
          </w:tcPr>
          <w:p>
            <w:pPr>
              <w:pStyle w:val="27"/>
            </w:pPr>
            <w:r>
              <w:t>演练是否达到预期效果</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及时率</w:t>
            </w:r>
          </w:p>
        </w:tc>
        <w:tc>
          <w:tcPr>
            <w:tcW w:w="2891" w:type="dxa"/>
            <w:tcBorders>
              <w:left w:val="single" w:sz="6" w:space="0" w:color="000000"/>
            </w:tcBorders>
            <w:vAlign w:val="center"/>
          </w:tcPr>
          <w:p>
            <w:pPr>
              <w:pStyle w:val="27"/>
            </w:pPr>
            <w:r>
              <w:t>应急演练开展及时率</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单位成本</w:t>
            </w:r>
          </w:p>
        </w:tc>
        <w:tc>
          <w:tcPr>
            <w:tcW w:w="2891" w:type="dxa"/>
            <w:tcBorders>
              <w:left w:val="single" w:sz="6" w:space="0" w:color="000000"/>
            </w:tcBorders>
            <w:vAlign w:val="center"/>
          </w:tcPr>
          <w:p>
            <w:pPr>
              <w:pStyle w:val="27"/>
            </w:pPr>
            <w:r>
              <w:t>考察项目单次演练成本控制情况</w:t>
            </w:r>
          </w:p>
        </w:tc>
        <w:tc>
          <w:tcPr>
            <w:tcW w:w="1276" w:type="dxa"/>
            <w:tcBorders>
              <w:left w:val="single" w:sz="6" w:space="0" w:color="000000"/>
            </w:tcBorders>
            <w:vAlign w:val="center"/>
          </w:tcPr>
          <w:p>
            <w:pPr>
              <w:pStyle w:val="27"/>
            </w:pPr>
            <w:r>
              <w:t>≤5万/次</w:t>
            </w:r>
          </w:p>
        </w:tc>
        <w:tc>
          <w:tcPr>
            <w:tcW w:w="1843" w:type="dxa"/>
            <w:tcBorders>
              <w:left w:val="single" w:sz="6" w:space="0" w:color="000000"/>
            </w:tcBorders>
            <w:vAlign w:val="center"/>
          </w:tcPr>
          <w:p>
            <w:pPr>
              <w:pStyle w:val="27"/>
            </w:pPr>
            <w:r>
              <w:t>实施方案</w:t>
            </w:r>
          </w:p>
        </w:tc>
      </w:tr>
      <w:tr>
        <w:trPr>
          <w:trHeight w:val="369"/>
        </w:trPr>
        <w:tc>
          <w:tcPr>
            <w:tcW w:w="1276" w:type="dxa"/>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锻炼应急救援队伍，加强协作，减少事故发生</w:t>
            </w:r>
          </w:p>
        </w:tc>
        <w:tc>
          <w:tcPr>
            <w:tcW w:w="2891" w:type="dxa"/>
            <w:tcBorders>
              <w:left w:val="single" w:sz="6" w:space="0" w:color="000000"/>
            </w:tcBorders>
            <w:vAlign w:val="center"/>
          </w:tcPr>
          <w:p>
            <w:pPr>
              <w:pStyle w:val="27"/>
            </w:pPr>
            <w:r>
              <w:t>减少各类安全隐患</w:t>
            </w:r>
          </w:p>
        </w:tc>
        <w:tc>
          <w:tcPr>
            <w:tcW w:w="1276" w:type="dxa"/>
            <w:tcBorders>
              <w:left w:val="single" w:sz="6" w:space="0" w:color="000000"/>
            </w:tcBorders>
            <w:vAlign w:val="center"/>
          </w:tcPr>
          <w:p>
            <w:pPr>
              <w:pStyle w:val="27"/>
            </w:pPr>
            <w:r>
              <w:t>减少</w:t>
            </w:r>
          </w:p>
        </w:tc>
        <w:tc>
          <w:tcPr>
            <w:tcW w:w="1843" w:type="dxa"/>
            <w:tcBorders>
              <w:left w:val="single" w:sz="6" w:space="0" w:color="000000"/>
            </w:tcBorders>
            <w:vAlign w:val="center"/>
          </w:tcPr>
          <w:p>
            <w:pPr>
              <w:pStyle w:val="27"/>
            </w:pPr>
            <w:r>
              <w:t>工作总结</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企业满意度</w:t>
            </w:r>
          </w:p>
        </w:tc>
        <w:tc>
          <w:tcPr>
            <w:tcW w:w="2891" w:type="dxa"/>
            <w:tcBorders>
              <w:left w:val="single" w:sz="6" w:space="0" w:color="000000"/>
            </w:tcBorders>
            <w:vAlign w:val="center"/>
          </w:tcPr>
          <w:p>
            <w:pPr>
              <w:pStyle w:val="27"/>
            </w:pPr>
            <w:r>
              <w:t>企业满意度</w:t>
            </w:r>
          </w:p>
        </w:tc>
        <w:tc>
          <w:tcPr>
            <w:tcW w:w="1276" w:type="dxa"/>
            <w:tcBorders>
              <w:left w:val="single" w:sz="6" w:space="0" w:color="000000"/>
            </w:tcBorders>
            <w:vAlign w:val="center"/>
          </w:tcPr>
          <w:p>
            <w:pPr>
              <w:pStyle w:val="27"/>
            </w:pPr>
            <w:r>
              <w:t>≥95%</w:t>
            </w:r>
          </w:p>
        </w:tc>
        <w:tc>
          <w:tcPr>
            <w:tcW w:w="1843" w:type="dxa"/>
            <w:tcBorders>
              <w:left w:val="single" w:sz="6" w:space="0" w:color="000000"/>
            </w:tcBorders>
            <w:vAlign w:val="center"/>
          </w:tcPr>
          <w:p>
            <w:pPr>
              <w:pStyle w:val="27"/>
            </w:pPr>
            <w:r>
              <w:t>调查问卷</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13" w:name="_Toc_4_4_0000000016"/>
      <w:r>
        <w:rPr>
          <w:rFonts w:ascii="方正仿宋_GBK" w:eastAsia="方正仿宋_GBK" w:cs="方正仿宋_GBK" w:hAnsi="方正仿宋_GBK"/>
          <w:color w:val="000000"/>
          <w:sz w:val="28"/>
        </w:rPr>
        <w:t>13.应急管理局应急装备、物资购置项目绩效目标表</w:t>
      </w:r>
      <w:bookmarkEnd w:id="13"/>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13102322P00H1E610002P</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应急管理局应急装备、物资购置项目</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500000.00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500000.00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预算资金50万元，其中财政资金50万元主要用于应急装备、物资购置</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r>
              <w:t>20%</w:t>
            </w:r>
          </w:p>
        </w:tc>
        <w:tc>
          <w:tcPr>
            <w:tcW w:w="1587" w:type="dxa"/>
            <w:tcBorders>
              <w:left w:val="single" w:sz="6" w:space="0" w:color="000000"/>
            </w:tcBorders>
            <w:vAlign w:val="center"/>
          </w:tcPr>
          <w:p>
            <w:pPr>
              <w:pStyle w:val="28"/>
            </w:pPr>
            <w:r>
              <w:t>100%</w:t>
            </w:r>
          </w:p>
        </w:tc>
        <w:tc>
          <w:tcPr>
            <w:tcW w:w="1304" w:type="dxa"/>
            <w:tcBorders>
              <w:left w:val="single" w:sz="6" w:space="0" w:color="000000"/>
            </w:tcBorders>
            <w:vAlign w:val="center"/>
          </w:tcPr>
          <w:p>
            <w:pPr>
              <w:pStyle w:val="28"/>
            </w:pPr>
            <w:r>
              <w:t>100%</w:t>
            </w: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1.通过项目的开展制定购置计划，严格验收程序和指标控制，规范使用管理，提高使用率和使用寿命。</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购置应急装备、物资数量</w:t>
            </w:r>
          </w:p>
        </w:tc>
        <w:tc>
          <w:tcPr>
            <w:tcW w:w="2891" w:type="dxa"/>
            <w:tcBorders>
              <w:left w:val="single" w:sz="6" w:space="0" w:color="000000"/>
            </w:tcBorders>
            <w:vAlign w:val="center"/>
          </w:tcPr>
          <w:p>
            <w:pPr>
              <w:pStyle w:val="27"/>
            </w:pPr>
            <w:r>
              <w:t>考察购置应急装备、物资数量情况</w:t>
            </w:r>
          </w:p>
        </w:tc>
        <w:tc>
          <w:tcPr>
            <w:tcW w:w="1276" w:type="dxa"/>
            <w:tcBorders>
              <w:left w:val="single" w:sz="6" w:space="0" w:color="000000"/>
            </w:tcBorders>
            <w:vAlign w:val="center"/>
          </w:tcPr>
          <w:p>
            <w:pPr>
              <w:pStyle w:val="27"/>
            </w:pPr>
            <w:r>
              <w:t>≥500套</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购置应急装备、物资验收合格率</w:t>
            </w:r>
          </w:p>
        </w:tc>
        <w:tc>
          <w:tcPr>
            <w:tcW w:w="2891" w:type="dxa"/>
            <w:tcBorders>
              <w:left w:val="single" w:sz="6" w:space="0" w:color="000000"/>
            </w:tcBorders>
            <w:vAlign w:val="center"/>
          </w:tcPr>
          <w:p>
            <w:pPr>
              <w:pStyle w:val="27"/>
            </w:pPr>
            <w:r>
              <w:t>购置应急装备、物资验收合格率情况</w:t>
            </w:r>
          </w:p>
        </w:tc>
        <w:tc>
          <w:tcPr>
            <w:tcW w:w="1276" w:type="dxa"/>
            <w:tcBorders>
              <w:left w:val="single" w:sz="6" w:space="0" w:color="000000"/>
            </w:tcBorders>
            <w:vAlign w:val="center"/>
          </w:tcPr>
          <w:p>
            <w:pPr>
              <w:pStyle w:val="27"/>
            </w:pPr>
            <w:r>
              <w:t>≥95%</w:t>
            </w:r>
          </w:p>
        </w:tc>
        <w:tc>
          <w:tcPr>
            <w:tcW w:w="1843" w:type="dxa"/>
            <w:tcBorders>
              <w:left w:val="single" w:sz="6" w:space="0" w:color="000000"/>
            </w:tcBorders>
            <w:vAlign w:val="center"/>
          </w:tcPr>
          <w:p>
            <w:pPr>
              <w:pStyle w:val="27"/>
            </w:pPr>
            <w:r>
              <w:t>验收报告</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应急装备物资购置及时性</w:t>
            </w:r>
          </w:p>
        </w:tc>
        <w:tc>
          <w:tcPr>
            <w:tcW w:w="2891" w:type="dxa"/>
            <w:tcBorders>
              <w:left w:val="single" w:sz="6" w:space="0" w:color="000000"/>
            </w:tcBorders>
            <w:vAlign w:val="center"/>
          </w:tcPr>
          <w:p>
            <w:pPr>
              <w:pStyle w:val="27"/>
            </w:pPr>
            <w:r>
              <w:t>考察应急装备物资购置及时性</w:t>
            </w:r>
          </w:p>
        </w:tc>
        <w:tc>
          <w:tcPr>
            <w:tcW w:w="1276" w:type="dxa"/>
            <w:tcBorders>
              <w:left w:val="single" w:sz="6" w:space="0" w:color="000000"/>
            </w:tcBorders>
            <w:vAlign w:val="center"/>
          </w:tcPr>
          <w:p>
            <w:pPr>
              <w:pStyle w:val="27"/>
            </w:pPr>
            <w:r>
              <w:t>及时</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成本控制率</w:t>
            </w:r>
          </w:p>
        </w:tc>
        <w:tc>
          <w:tcPr>
            <w:tcW w:w="2891" w:type="dxa"/>
            <w:tcBorders>
              <w:left w:val="single" w:sz="6" w:space="0" w:color="000000"/>
            </w:tcBorders>
            <w:vAlign w:val="center"/>
          </w:tcPr>
          <w:p>
            <w:pPr>
              <w:pStyle w:val="27"/>
            </w:pPr>
            <w:r>
              <w:t>完成项目计划工作目标的实际节约成本与计划成本的比率，用以反映和考核项目的成本节约程度</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服务合同</w:t>
            </w:r>
          </w:p>
        </w:tc>
      </w:tr>
      <w:tr>
        <w:trPr>
          <w:trHeight w:val="369"/>
        </w:trPr>
        <w:tc>
          <w:tcPr>
            <w:tcW w:w="1276" w:type="dxa"/>
            <w:vMerge w:val="restart"/>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保障应急救援工作正常开展</w:t>
            </w:r>
          </w:p>
        </w:tc>
        <w:tc>
          <w:tcPr>
            <w:tcW w:w="2891" w:type="dxa"/>
            <w:tcBorders>
              <w:left w:val="single" w:sz="6" w:space="0" w:color="000000"/>
            </w:tcBorders>
            <w:vAlign w:val="center"/>
          </w:tcPr>
          <w:p>
            <w:pPr>
              <w:pStyle w:val="27"/>
            </w:pPr>
            <w:r>
              <w:t>考察是否保障应急救援工作正常开展情况</w:t>
            </w:r>
          </w:p>
        </w:tc>
        <w:tc>
          <w:tcPr>
            <w:tcW w:w="1276" w:type="dxa"/>
            <w:tcBorders>
              <w:left w:val="single" w:sz="6" w:space="0" w:color="000000"/>
            </w:tcBorders>
            <w:vAlign w:val="center"/>
          </w:tcPr>
          <w:p>
            <w:pPr>
              <w:pStyle w:val="27"/>
            </w:pPr>
            <w:r>
              <w:t>有效保障</w:t>
            </w:r>
          </w:p>
        </w:tc>
        <w:tc>
          <w:tcPr>
            <w:tcW w:w="1843" w:type="dxa"/>
            <w:tcBorders>
              <w:left w:val="single" w:sz="6" w:space="0" w:color="000000"/>
            </w:tcBorders>
            <w:vAlign w:val="center"/>
          </w:tcPr>
          <w:p>
            <w:pPr>
              <w:pStyle w:val="27"/>
            </w:pPr>
            <w:r>
              <w:t>工作总结</w:t>
            </w:r>
          </w:p>
        </w:tc>
      </w:tr>
      <w:tr>
        <w:trPr>
          <w:trHeight w:val="369"/>
        </w:trPr>
        <w:tc>
          <w:tcPr>
            <w:tcW w:w="1276" w:type="dxa"/>
            <w:vMerge/>
            <w:vAlign w:val="center"/>
          </w:tcPr>
          <w:p/>
        </w:tc>
        <w:tc>
          <w:tcPr>
            <w:tcW w:w="1276" w:type="dxa"/>
            <w:tcBorders>
              <w:left w:val="single" w:sz="6" w:space="0" w:color="000000"/>
            </w:tcBorders>
            <w:vAlign w:val="center"/>
          </w:tcPr>
          <w:p>
            <w:pPr>
              <w:pStyle w:val="27"/>
            </w:pPr>
            <w:r>
              <w:t>可持续影响指标</w:t>
            </w:r>
          </w:p>
        </w:tc>
        <w:tc>
          <w:tcPr>
            <w:tcW w:w="1332" w:type="dxa"/>
            <w:tcBorders>
              <w:left w:val="single" w:sz="6" w:space="0" w:color="000000"/>
            </w:tcBorders>
            <w:vAlign w:val="center"/>
          </w:tcPr>
          <w:p>
            <w:pPr>
              <w:pStyle w:val="27"/>
            </w:pPr>
            <w:r>
              <w:t>持续确保全县安全生产形势稳定</w:t>
            </w:r>
          </w:p>
        </w:tc>
        <w:tc>
          <w:tcPr>
            <w:tcW w:w="2891" w:type="dxa"/>
            <w:tcBorders>
              <w:left w:val="single" w:sz="6" w:space="0" w:color="000000"/>
            </w:tcBorders>
            <w:vAlign w:val="center"/>
          </w:tcPr>
          <w:p>
            <w:pPr>
              <w:pStyle w:val="27"/>
            </w:pPr>
            <w:r>
              <w:t>考察是否持续确保全县安全生产形势稳定</w:t>
            </w:r>
          </w:p>
        </w:tc>
        <w:tc>
          <w:tcPr>
            <w:tcW w:w="1276" w:type="dxa"/>
            <w:tcBorders>
              <w:left w:val="single" w:sz="6" w:space="0" w:color="000000"/>
            </w:tcBorders>
            <w:vAlign w:val="center"/>
          </w:tcPr>
          <w:p>
            <w:pPr>
              <w:pStyle w:val="27"/>
            </w:pPr>
            <w:r>
              <w:t>有效持续</w:t>
            </w:r>
          </w:p>
        </w:tc>
        <w:tc>
          <w:tcPr>
            <w:tcW w:w="1843" w:type="dxa"/>
            <w:tcBorders>
              <w:left w:val="single" w:sz="6" w:space="0" w:color="000000"/>
            </w:tcBorders>
            <w:vAlign w:val="center"/>
          </w:tcPr>
          <w:p>
            <w:pPr>
              <w:pStyle w:val="27"/>
            </w:pPr>
            <w:r>
              <w:t>调查问卷</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社会公众满意度调查</w:t>
            </w:r>
          </w:p>
        </w:tc>
        <w:tc>
          <w:tcPr>
            <w:tcW w:w="2891" w:type="dxa"/>
            <w:tcBorders>
              <w:left w:val="single" w:sz="6" w:space="0" w:color="000000"/>
            </w:tcBorders>
            <w:vAlign w:val="center"/>
          </w:tcPr>
          <w:p>
            <w:pPr>
              <w:pStyle w:val="27"/>
            </w:pPr>
            <w:r>
              <w:t>社会公众的满意度调查</w:t>
            </w:r>
          </w:p>
        </w:tc>
        <w:tc>
          <w:tcPr>
            <w:tcW w:w="1276" w:type="dxa"/>
            <w:tcBorders>
              <w:left w:val="single" w:sz="6" w:space="0" w:color="000000"/>
            </w:tcBorders>
            <w:vAlign w:val="center"/>
          </w:tcPr>
          <w:p>
            <w:pPr>
              <w:pStyle w:val="27"/>
            </w:pPr>
            <w:r>
              <w:t>≥95%</w:t>
            </w:r>
          </w:p>
        </w:tc>
        <w:tc>
          <w:tcPr>
            <w:tcW w:w="1843" w:type="dxa"/>
            <w:tcBorders>
              <w:left w:val="single" w:sz="6" w:space="0" w:color="000000"/>
            </w:tcBorders>
            <w:vAlign w:val="center"/>
          </w:tcPr>
          <w:p>
            <w:pPr>
              <w:pStyle w:val="27"/>
            </w:pPr>
            <w:r>
              <w:t>调查问卷</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14" w:name="_Toc_4_4_0000000017"/>
      <w:r>
        <w:rPr>
          <w:rFonts w:ascii="方正仿宋_GBK" w:eastAsia="方正仿宋_GBK" w:cs="方正仿宋_GBK" w:hAnsi="方正仿宋_GBK"/>
          <w:color w:val="000000"/>
          <w:sz w:val="28"/>
        </w:rPr>
        <w:t>14.应急指挥中心现有设备运行维护及网络通信正常运行绩效目标表</w:t>
      </w:r>
      <w:bookmarkEnd w:id="14"/>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13102322P00628610002P</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应急指挥中心现有设备运行维护及网络通信正常运行</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100000.00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100000.00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预算资金10万元，其中财政资金10万元主要用于对应急指挥中心平台现有设备运行维护及部分老旧设备升级改造，保障设备正常运行</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r>
              <w:t>20%</w:t>
            </w:r>
          </w:p>
        </w:tc>
        <w:tc>
          <w:tcPr>
            <w:tcW w:w="1587" w:type="dxa"/>
            <w:tcBorders>
              <w:left w:val="single" w:sz="6" w:space="0" w:color="000000"/>
            </w:tcBorders>
            <w:vAlign w:val="center"/>
          </w:tcPr>
          <w:p>
            <w:pPr>
              <w:pStyle w:val="28"/>
            </w:pPr>
            <w:r>
              <w:t>40%</w:t>
            </w:r>
          </w:p>
        </w:tc>
        <w:tc>
          <w:tcPr>
            <w:tcW w:w="1304" w:type="dxa"/>
            <w:tcBorders>
              <w:left w:val="single" w:sz="6" w:space="0" w:color="000000"/>
            </w:tcBorders>
            <w:vAlign w:val="center"/>
          </w:tcPr>
          <w:p>
            <w:pPr>
              <w:pStyle w:val="28"/>
            </w:pPr>
            <w:r>
              <w:t>60%</w:t>
            </w: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1.通过项目的开展，年度内及时完成2套系统的运行维护，保障设备正常运行，加快信息化建设，不断提高监测预警能力。</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维护系统数量</w:t>
            </w:r>
          </w:p>
        </w:tc>
        <w:tc>
          <w:tcPr>
            <w:tcW w:w="2891" w:type="dxa"/>
            <w:tcBorders>
              <w:left w:val="single" w:sz="6" w:space="0" w:color="000000"/>
            </w:tcBorders>
            <w:vAlign w:val="center"/>
          </w:tcPr>
          <w:p>
            <w:pPr>
              <w:pStyle w:val="27"/>
            </w:pPr>
            <w:r>
              <w:t>考察项目维护系统数量</w:t>
            </w:r>
          </w:p>
        </w:tc>
        <w:tc>
          <w:tcPr>
            <w:tcW w:w="1276" w:type="dxa"/>
            <w:tcBorders>
              <w:left w:val="single" w:sz="6" w:space="0" w:color="000000"/>
            </w:tcBorders>
            <w:vAlign w:val="center"/>
          </w:tcPr>
          <w:p>
            <w:pPr>
              <w:pStyle w:val="27"/>
            </w:pPr>
            <w:r>
              <w:t>2套</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设备正常运转率</w:t>
            </w:r>
          </w:p>
        </w:tc>
        <w:tc>
          <w:tcPr>
            <w:tcW w:w="2891" w:type="dxa"/>
            <w:tcBorders>
              <w:left w:val="single" w:sz="6" w:space="0" w:color="000000"/>
            </w:tcBorders>
            <w:vAlign w:val="center"/>
          </w:tcPr>
          <w:p>
            <w:pPr>
              <w:pStyle w:val="27"/>
            </w:pPr>
            <w:r>
              <w:t>考察项目设备正常运转率</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及时率</w:t>
            </w:r>
          </w:p>
        </w:tc>
        <w:tc>
          <w:tcPr>
            <w:tcW w:w="2891" w:type="dxa"/>
            <w:tcBorders>
              <w:left w:val="single" w:sz="6" w:space="0" w:color="000000"/>
            </w:tcBorders>
            <w:vAlign w:val="center"/>
          </w:tcPr>
          <w:p>
            <w:pPr>
              <w:pStyle w:val="27"/>
            </w:pPr>
            <w:r>
              <w:t>运行维护完成及时情况</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单位成本</w:t>
            </w:r>
          </w:p>
        </w:tc>
        <w:tc>
          <w:tcPr>
            <w:tcW w:w="2891" w:type="dxa"/>
            <w:tcBorders>
              <w:left w:val="single" w:sz="6" w:space="0" w:color="000000"/>
            </w:tcBorders>
            <w:vAlign w:val="center"/>
          </w:tcPr>
          <w:p>
            <w:pPr>
              <w:pStyle w:val="27"/>
            </w:pPr>
            <w:r>
              <w:t>考察项目每套系统运行维护成本控制情况</w:t>
            </w:r>
          </w:p>
        </w:tc>
        <w:tc>
          <w:tcPr>
            <w:tcW w:w="1276" w:type="dxa"/>
            <w:tcBorders>
              <w:left w:val="single" w:sz="6" w:space="0" w:color="000000"/>
            </w:tcBorders>
            <w:vAlign w:val="center"/>
          </w:tcPr>
          <w:p>
            <w:pPr>
              <w:pStyle w:val="27"/>
            </w:pPr>
            <w:r>
              <w:t>≤5万元/套</w:t>
            </w:r>
          </w:p>
        </w:tc>
        <w:tc>
          <w:tcPr>
            <w:tcW w:w="1843" w:type="dxa"/>
            <w:tcBorders>
              <w:left w:val="single" w:sz="6" w:space="0" w:color="000000"/>
            </w:tcBorders>
            <w:vAlign w:val="center"/>
          </w:tcPr>
          <w:p>
            <w:pPr>
              <w:pStyle w:val="27"/>
            </w:pPr>
            <w:r>
              <w:t>实施方案</w:t>
            </w:r>
          </w:p>
        </w:tc>
      </w:tr>
      <w:tr>
        <w:trPr>
          <w:trHeight w:val="369"/>
        </w:trPr>
        <w:tc>
          <w:tcPr>
            <w:tcW w:w="1276" w:type="dxa"/>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确保设备正常运行</w:t>
            </w:r>
          </w:p>
        </w:tc>
        <w:tc>
          <w:tcPr>
            <w:tcW w:w="2891" w:type="dxa"/>
            <w:tcBorders>
              <w:left w:val="single" w:sz="6" w:space="0" w:color="000000"/>
            </w:tcBorders>
            <w:vAlign w:val="center"/>
          </w:tcPr>
          <w:p>
            <w:pPr>
              <w:pStyle w:val="27"/>
            </w:pPr>
            <w:r>
              <w:t>考察项目是否提高监测预警能力</w:t>
            </w:r>
          </w:p>
        </w:tc>
        <w:tc>
          <w:tcPr>
            <w:tcW w:w="1276" w:type="dxa"/>
            <w:tcBorders>
              <w:left w:val="single" w:sz="6" w:space="0" w:color="000000"/>
            </w:tcBorders>
            <w:vAlign w:val="center"/>
          </w:tcPr>
          <w:p>
            <w:pPr>
              <w:pStyle w:val="27"/>
            </w:pPr>
            <w:r>
              <w:t>365天</w:t>
            </w:r>
          </w:p>
        </w:tc>
        <w:tc>
          <w:tcPr>
            <w:tcW w:w="1843" w:type="dxa"/>
            <w:tcBorders>
              <w:left w:val="single" w:sz="6" w:space="0" w:color="000000"/>
            </w:tcBorders>
            <w:vAlign w:val="center"/>
          </w:tcPr>
          <w:p>
            <w:pPr>
              <w:pStyle w:val="27"/>
            </w:pPr>
            <w:r>
              <w:t>工作总结</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社会公众满意度</w:t>
            </w:r>
          </w:p>
        </w:tc>
        <w:tc>
          <w:tcPr>
            <w:tcW w:w="2891" w:type="dxa"/>
            <w:tcBorders>
              <w:left w:val="single" w:sz="6" w:space="0" w:color="000000"/>
            </w:tcBorders>
            <w:vAlign w:val="center"/>
          </w:tcPr>
          <w:p>
            <w:pPr>
              <w:pStyle w:val="27"/>
            </w:pPr>
            <w:r>
              <w:t>社会公众满意度</w:t>
            </w:r>
          </w:p>
        </w:tc>
        <w:tc>
          <w:tcPr>
            <w:tcW w:w="1276" w:type="dxa"/>
            <w:tcBorders>
              <w:left w:val="single" w:sz="6" w:space="0" w:color="000000"/>
            </w:tcBorders>
            <w:vAlign w:val="center"/>
          </w:tcPr>
          <w:p>
            <w:pPr>
              <w:pStyle w:val="27"/>
            </w:pPr>
            <w:r>
              <w:t>≥95%</w:t>
            </w:r>
          </w:p>
        </w:tc>
        <w:tc>
          <w:tcPr>
            <w:tcW w:w="1843" w:type="dxa"/>
            <w:tcBorders>
              <w:left w:val="single" w:sz="6" w:space="0" w:color="000000"/>
            </w:tcBorders>
            <w:vAlign w:val="center"/>
          </w:tcPr>
          <w:p>
            <w:pPr>
              <w:pStyle w:val="27"/>
            </w:pPr>
            <w:r>
              <w:t>问卷调查</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15" w:name="_Toc_4_4_0000000018"/>
      <w:r>
        <w:rPr>
          <w:rFonts w:ascii="方正仿宋_GBK" w:eastAsia="方正仿宋_GBK" w:cs="方正仿宋_GBK" w:hAnsi="方正仿宋_GBK"/>
          <w:color w:val="000000"/>
          <w:sz w:val="28"/>
        </w:rPr>
        <w:t>15.永清县“基于遥感影像和经验估计的区域房屋震害风险初判工作”绩效目标表</w:t>
      </w:r>
      <w:bookmarkEnd w:id="15"/>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13102322P00628910002Q</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永清县“基于遥感影像和经验估计的区域房屋震害风险初判工作”</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40000.00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40000.00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永清县“基于遥感影像和经验估计的区域房屋震害风险初判工作”经费</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r>
              <w:t>100%</w:t>
            </w:r>
          </w:p>
        </w:tc>
        <w:tc>
          <w:tcPr>
            <w:tcW w:w="1587" w:type="dxa"/>
            <w:tcBorders>
              <w:left w:val="single" w:sz="6" w:space="0" w:color="000000"/>
            </w:tcBorders>
            <w:vAlign w:val="center"/>
          </w:tcPr>
          <w:p>
            <w:pPr>
              <w:pStyle w:val="28"/>
            </w:pPr>
          </w:p>
        </w:tc>
        <w:tc>
          <w:tcPr>
            <w:tcW w:w="1304" w:type="dxa"/>
            <w:tcBorders>
              <w:left w:val="single" w:sz="6" w:space="0" w:color="000000"/>
            </w:tcBorders>
            <w:vAlign w:val="center"/>
          </w:tcPr>
          <w:p>
            <w:pPr>
              <w:pStyle w:val="28"/>
            </w:pPr>
          </w:p>
        </w:tc>
        <w:tc>
          <w:tcPr>
            <w:tcW w:w="3118" w:type="dxa"/>
            <w:gridSpan w:val="2"/>
            <w:tcBorders>
              <w:left w:val="single" w:sz="6" w:space="0" w:color="000000"/>
            </w:tcBorders>
            <w:vAlign w:val="center"/>
          </w:tcPr>
          <w:p>
            <w:pPr>
              <w:pStyle w:val="28"/>
            </w:pP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1.通过项目的开展快速掌握全县房屋抗震设防情况和风险底数，加快推进永清县“基于遥感影像和经验估计的区域房屋震害风险初判工作”建设，做好数据普查，确保全县安全生产形势持续稳定。</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工作完成率</w:t>
            </w:r>
          </w:p>
        </w:tc>
        <w:tc>
          <w:tcPr>
            <w:tcW w:w="2891" w:type="dxa"/>
            <w:tcBorders>
              <w:left w:val="single" w:sz="6" w:space="0" w:color="000000"/>
            </w:tcBorders>
            <w:vAlign w:val="center"/>
          </w:tcPr>
          <w:p>
            <w:pPr>
              <w:pStyle w:val="27"/>
            </w:pPr>
            <w:r>
              <w:t>考察项目完成情况</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服务合同</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数据可用性</w:t>
            </w:r>
          </w:p>
        </w:tc>
        <w:tc>
          <w:tcPr>
            <w:tcW w:w="2891" w:type="dxa"/>
            <w:tcBorders>
              <w:left w:val="single" w:sz="6" w:space="0" w:color="000000"/>
            </w:tcBorders>
            <w:vAlign w:val="center"/>
          </w:tcPr>
          <w:p>
            <w:pPr>
              <w:pStyle w:val="27"/>
            </w:pPr>
            <w:r>
              <w:t>可用数据占全部普查数据的百分率</w:t>
            </w:r>
          </w:p>
        </w:tc>
        <w:tc>
          <w:tcPr>
            <w:tcW w:w="1276" w:type="dxa"/>
            <w:tcBorders>
              <w:left w:val="single" w:sz="6" w:space="0" w:color="000000"/>
            </w:tcBorders>
            <w:vAlign w:val="center"/>
          </w:tcPr>
          <w:p>
            <w:pPr>
              <w:pStyle w:val="27"/>
            </w:pPr>
            <w:r>
              <w:t>≥90%</w:t>
            </w:r>
          </w:p>
        </w:tc>
        <w:tc>
          <w:tcPr>
            <w:tcW w:w="1843" w:type="dxa"/>
            <w:tcBorders>
              <w:left w:val="single" w:sz="6" w:space="0" w:color="000000"/>
            </w:tcBorders>
            <w:vAlign w:val="center"/>
          </w:tcPr>
          <w:p>
            <w:pPr>
              <w:pStyle w:val="27"/>
            </w:pPr>
            <w:r>
              <w:t>服务合同</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完成及时性</w:t>
            </w:r>
          </w:p>
        </w:tc>
        <w:tc>
          <w:tcPr>
            <w:tcW w:w="2891" w:type="dxa"/>
            <w:tcBorders>
              <w:left w:val="single" w:sz="6" w:space="0" w:color="000000"/>
            </w:tcBorders>
            <w:vAlign w:val="center"/>
          </w:tcPr>
          <w:p>
            <w:pPr>
              <w:pStyle w:val="27"/>
            </w:pPr>
            <w:r>
              <w:t>考察项目能否在年底前完成</w:t>
            </w:r>
          </w:p>
        </w:tc>
        <w:tc>
          <w:tcPr>
            <w:tcW w:w="1276" w:type="dxa"/>
            <w:tcBorders>
              <w:left w:val="single" w:sz="6" w:space="0" w:color="000000"/>
            </w:tcBorders>
            <w:vAlign w:val="center"/>
          </w:tcPr>
          <w:p>
            <w:pPr>
              <w:pStyle w:val="27"/>
            </w:pPr>
            <w:r>
              <w:t>≤12月</w:t>
            </w:r>
          </w:p>
        </w:tc>
        <w:tc>
          <w:tcPr>
            <w:tcW w:w="1843" w:type="dxa"/>
            <w:tcBorders>
              <w:left w:val="single" w:sz="6" w:space="0" w:color="000000"/>
            </w:tcBorders>
            <w:vAlign w:val="center"/>
          </w:tcPr>
          <w:p>
            <w:pPr>
              <w:pStyle w:val="27"/>
            </w:pPr>
            <w:r>
              <w:t>工作计划</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成本控制率</w:t>
            </w:r>
          </w:p>
        </w:tc>
        <w:tc>
          <w:tcPr>
            <w:tcW w:w="2891" w:type="dxa"/>
            <w:tcBorders>
              <w:left w:val="single" w:sz="6" w:space="0" w:color="000000"/>
            </w:tcBorders>
            <w:vAlign w:val="center"/>
          </w:tcPr>
          <w:p>
            <w:pPr>
              <w:pStyle w:val="27"/>
            </w:pPr>
            <w:r>
              <w:t>完成项目计划工作目标的实际节约成本与计划成本的比率，用以反映和考核项目的成本节约程度</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服务合同</w:t>
            </w:r>
          </w:p>
        </w:tc>
      </w:tr>
      <w:tr>
        <w:trPr>
          <w:trHeight w:val="369"/>
        </w:trPr>
        <w:tc>
          <w:tcPr>
            <w:tcW w:w="1276" w:type="dxa"/>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提升群众安全意识</w:t>
            </w:r>
          </w:p>
        </w:tc>
        <w:tc>
          <w:tcPr>
            <w:tcW w:w="2891" w:type="dxa"/>
            <w:tcBorders>
              <w:left w:val="single" w:sz="6" w:space="0" w:color="000000"/>
            </w:tcBorders>
            <w:vAlign w:val="center"/>
          </w:tcPr>
          <w:p>
            <w:pPr>
              <w:pStyle w:val="27"/>
            </w:pPr>
            <w:r>
              <w:t>提升群众安全意识情况</w:t>
            </w:r>
          </w:p>
        </w:tc>
        <w:tc>
          <w:tcPr>
            <w:tcW w:w="1276" w:type="dxa"/>
            <w:tcBorders>
              <w:left w:val="single" w:sz="6" w:space="0" w:color="000000"/>
            </w:tcBorders>
            <w:vAlign w:val="center"/>
          </w:tcPr>
          <w:p>
            <w:pPr>
              <w:pStyle w:val="27"/>
            </w:pPr>
            <w:r>
              <w:t>有效提升</w:t>
            </w:r>
          </w:p>
        </w:tc>
        <w:tc>
          <w:tcPr>
            <w:tcW w:w="1843" w:type="dxa"/>
            <w:tcBorders>
              <w:left w:val="single" w:sz="6" w:space="0" w:color="000000"/>
            </w:tcBorders>
            <w:vAlign w:val="center"/>
          </w:tcPr>
          <w:p>
            <w:pPr>
              <w:pStyle w:val="27"/>
            </w:pPr>
            <w:r>
              <w:t>调查问卷</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社会公众满意度调查</w:t>
            </w:r>
          </w:p>
        </w:tc>
        <w:tc>
          <w:tcPr>
            <w:tcW w:w="2891" w:type="dxa"/>
            <w:tcBorders>
              <w:left w:val="single" w:sz="6" w:space="0" w:color="000000"/>
            </w:tcBorders>
            <w:vAlign w:val="center"/>
          </w:tcPr>
          <w:p>
            <w:pPr>
              <w:pStyle w:val="27"/>
            </w:pPr>
            <w:r>
              <w:t>社会公众的满意度调查</w:t>
            </w:r>
          </w:p>
        </w:tc>
        <w:tc>
          <w:tcPr>
            <w:tcW w:w="1276" w:type="dxa"/>
            <w:tcBorders>
              <w:left w:val="single" w:sz="6" w:space="0" w:color="000000"/>
            </w:tcBorders>
            <w:vAlign w:val="center"/>
          </w:tcPr>
          <w:p>
            <w:pPr>
              <w:pStyle w:val="27"/>
            </w:pPr>
            <w:r>
              <w:t>≥95%</w:t>
            </w:r>
          </w:p>
        </w:tc>
        <w:tc>
          <w:tcPr>
            <w:tcW w:w="1843" w:type="dxa"/>
            <w:tcBorders>
              <w:left w:val="single" w:sz="6" w:space="0" w:color="000000"/>
            </w:tcBorders>
            <w:vAlign w:val="center"/>
          </w:tcPr>
          <w:p>
            <w:pPr>
              <w:pStyle w:val="27"/>
            </w:pPr>
            <w:r>
              <w:t>调查问卷</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16" w:name="_Toc_4_4_0000000019"/>
      <w:r>
        <w:rPr>
          <w:rFonts w:ascii="方正仿宋_GBK" w:eastAsia="方正仿宋_GBK" w:cs="方正仿宋_GBK" w:hAnsi="方正仿宋_GBK"/>
          <w:color w:val="000000"/>
          <w:sz w:val="28"/>
        </w:rPr>
        <w:t>16.永清县安全生产专项整治三年行动工作专班2022年度经费绩效目标表</w:t>
      </w:r>
      <w:bookmarkEnd w:id="16"/>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13102322P00627910002H</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永清县安全生产专项整治三年行动工作专班2022年度经费</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100000.00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100000.00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全面落实国家、省、市、县关于安全生产专项整治三年行动部署要求，扎实推动各项工作任务落实落细。</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r>
              <w:t>30%</w:t>
            </w:r>
          </w:p>
        </w:tc>
        <w:tc>
          <w:tcPr>
            <w:tcW w:w="1587" w:type="dxa"/>
            <w:tcBorders>
              <w:left w:val="single" w:sz="6" w:space="0" w:color="000000"/>
            </w:tcBorders>
            <w:vAlign w:val="center"/>
          </w:tcPr>
          <w:p>
            <w:pPr>
              <w:pStyle w:val="28"/>
            </w:pPr>
            <w:r>
              <w:t>60%</w:t>
            </w:r>
          </w:p>
        </w:tc>
        <w:tc>
          <w:tcPr>
            <w:tcW w:w="1304" w:type="dxa"/>
            <w:tcBorders>
              <w:left w:val="single" w:sz="6" w:space="0" w:color="000000"/>
            </w:tcBorders>
            <w:vAlign w:val="center"/>
          </w:tcPr>
          <w:p>
            <w:pPr>
              <w:pStyle w:val="28"/>
            </w:pPr>
            <w:r>
              <w:t>90%</w:t>
            </w: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1.通过项目的开展，年度内及时完成    有效减少一般事故、严防较大事故、全面遏制重特大事故，确保全县安全生产形势持续稳定。</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检查次数</w:t>
            </w:r>
          </w:p>
        </w:tc>
        <w:tc>
          <w:tcPr>
            <w:tcW w:w="2891" w:type="dxa"/>
            <w:tcBorders>
              <w:left w:val="single" w:sz="6" w:space="0" w:color="000000"/>
            </w:tcBorders>
            <w:vAlign w:val="center"/>
          </w:tcPr>
          <w:p>
            <w:pPr>
              <w:pStyle w:val="27"/>
            </w:pPr>
            <w:r>
              <w:t>考察项目年度内检查次数</w:t>
            </w:r>
          </w:p>
        </w:tc>
        <w:tc>
          <w:tcPr>
            <w:tcW w:w="1276" w:type="dxa"/>
            <w:tcBorders>
              <w:left w:val="single" w:sz="6" w:space="0" w:color="000000"/>
            </w:tcBorders>
            <w:vAlign w:val="center"/>
          </w:tcPr>
          <w:p>
            <w:pPr>
              <w:pStyle w:val="27"/>
            </w:pPr>
            <w:r>
              <w:t>1次</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检查覆盖率</w:t>
            </w:r>
          </w:p>
        </w:tc>
        <w:tc>
          <w:tcPr>
            <w:tcW w:w="2891" w:type="dxa"/>
            <w:tcBorders>
              <w:left w:val="single" w:sz="6" w:space="0" w:color="000000"/>
            </w:tcBorders>
            <w:vAlign w:val="center"/>
          </w:tcPr>
          <w:p>
            <w:pPr>
              <w:pStyle w:val="27"/>
            </w:pPr>
            <w:r>
              <w:t>考察项目域内覆盖率</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及时性</w:t>
            </w:r>
          </w:p>
        </w:tc>
        <w:tc>
          <w:tcPr>
            <w:tcW w:w="2891" w:type="dxa"/>
            <w:tcBorders>
              <w:left w:val="single" w:sz="6" w:space="0" w:color="000000"/>
            </w:tcBorders>
            <w:vAlign w:val="center"/>
          </w:tcPr>
          <w:p>
            <w:pPr>
              <w:pStyle w:val="27"/>
            </w:pPr>
            <w:r>
              <w:t>考察项目能否在12月底前完成</w:t>
            </w:r>
          </w:p>
        </w:tc>
        <w:tc>
          <w:tcPr>
            <w:tcW w:w="1276" w:type="dxa"/>
            <w:tcBorders>
              <w:left w:val="single" w:sz="6" w:space="0" w:color="000000"/>
            </w:tcBorders>
            <w:vAlign w:val="center"/>
          </w:tcPr>
          <w:p>
            <w:pPr>
              <w:pStyle w:val="27"/>
            </w:pPr>
            <w:r>
              <w:t>≤12月</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单位成本</w:t>
            </w:r>
          </w:p>
        </w:tc>
        <w:tc>
          <w:tcPr>
            <w:tcW w:w="2891" w:type="dxa"/>
            <w:tcBorders>
              <w:left w:val="single" w:sz="6" w:space="0" w:color="000000"/>
            </w:tcBorders>
            <w:vAlign w:val="center"/>
          </w:tcPr>
          <w:p>
            <w:pPr>
              <w:pStyle w:val="27"/>
            </w:pPr>
            <w:r>
              <w:t>考察项目每次检查成本控制情况</w:t>
            </w:r>
          </w:p>
        </w:tc>
        <w:tc>
          <w:tcPr>
            <w:tcW w:w="1276" w:type="dxa"/>
            <w:tcBorders>
              <w:left w:val="single" w:sz="6" w:space="0" w:color="000000"/>
            </w:tcBorders>
            <w:vAlign w:val="center"/>
          </w:tcPr>
          <w:p>
            <w:pPr>
              <w:pStyle w:val="27"/>
            </w:pPr>
            <w:r>
              <w:t>≤10万/次</w:t>
            </w:r>
          </w:p>
        </w:tc>
        <w:tc>
          <w:tcPr>
            <w:tcW w:w="1843" w:type="dxa"/>
            <w:tcBorders>
              <w:left w:val="single" w:sz="6" w:space="0" w:color="000000"/>
            </w:tcBorders>
            <w:vAlign w:val="center"/>
          </w:tcPr>
          <w:p>
            <w:pPr>
              <w:pStyle w:val="27"/>
            </w:pPr>
            <w:r>
              <w:t>实施方案</w:t>
            </w:r>
          </w:p>
        </w:tc>
      </w:tr>
      <w:tr>
        <w:trPr>
          <w:trHeight w:val="369"/>
        </w:trPr>
        <w:tc>
          <w:tcPr>
            <w:tcW w:w="1276" w:type="dxa"/>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减少事故发生</w:t>
            </w:r>
          </w:p>
        </w:tc>
        <w:tc>
          <w:tcPr>
            <w:tcW w:w="2891" w:type="dxa"/>
            <w:tcBorders>
              <w:left w:val="single" w:sz="6" w:space="0" w:color="000000"/>
            </w:tcBorders>
            <w:vAlign w:val="center"/>
          </w:tcPr>
          <w:p>
            <w:pPr>
              <w:pStyle w:val="27"/>
            </w:pPr>
            <w:r>
              <w:t>减少各类安全隐患</w:t>
            </w:r>
          </w:p>
        </w:tc>
        <w:tc>
          <w:tcPr>
            <w:tcW w:w="1276" w:type="dxa"/>
            <w:tcBorders>
              <w:left w:val="single" w:sz="6" w:space="0" w:color="000000"/>
            </w:tcBorders>
            <w:vAlign w:val="center"/>
          </w:tcPr>
          <w:p>
            <w:pPr>
              <w:pStyle w:val="27"/>
            </w:pPr>
            <w:r>
              <w:t>减少</w:t>
            </w:r>
          </w:p>
        </w:tc>
        <w:tc>
          <w:tcPr>
            <w:tcW w:w="1843" w:type="dxa"/>
            <w:tcBorders>
              <w:left w:val="single" w:sz="6" w:space="0" w:color="000000"/>
            </w:tcBorders>
            <w:vAlign w:val="center"/>
          </w:tcPr>
          <w:p>
            <w:pPr>
              <w:pStyle w:val="27"/>
            </w:pPr>
            <w:r>
              <w:t>工作总结</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企业满意度</w:t>
            </w:r>
          </w:p>
        </w:tc>
        <w:tc>
          <w:tcPr>
            <w:tcW w:w="2891" w:type="dxa"/>
            <w:tcBorders>
              <w:left w:val="single" w:sz="6" w:space="0" w:color="000000"/>
            </w:tcBorders>
            <w:vAlign w:val="center"/>
          </w:tcPr>
          <w:p>
            <w:pPr>
              <w:pStyle w:val="27"/>
            </w:pPr>
            <w:r>
              <w:t>企业满意度</w:t>
            </w:r>
          </w:p>
        </w:tc>
        <w:tc>
          <w:tcPr>
            <w:tcW w:w="1276" w:type="dxa"/>
            <w:tcBorders>
              <w:left w:val="single" w:sz="6" w:space="0" w:color="000000"/>
            </w:tcBorders>
            <w:vAlign w:val="center"/>
          </w:tcPr>
          <w:p>
            <w:pPr>
              <w:pStyle w:val="27"/>
            </w:pPr>
            <w:r>
              <w:t>≥90%</w:t>
            </w:r>
          </w:p>
        </w:tc>
        <w:tc>
          <w:tcPr>
            <w:tcW w:w="1843" w:type="dxa"/>
            <w:tcBorders>
              <w:left w:val="single" w:sz="6" w:space="0" w:color="000000"/>
            </w:tcBorders>
            <w:vAlign w:val="center"/>
          </w:tcPr>
          <w:p>
            <w:pPr>
              <w:pStyle w:val="27"/>
            </w:pPr>
            <w:r>
              <w:t>问卷调查</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17" w:name="_Toc_4_4_0000000020"/>
      <w:r>
        <w:rPr>
          <w:rFonts w:ascii="方正仿宋_GBK" w:eastAsia="方正仿宋_GBK" w:cs="方正仿宋_GBK" w:hAnsi="方正仿宋_GBK"/>
          <w:color w:val="000000"/>
          <w:sz w:val="28"/>
        </w:rPr>
        <w:t>17.永清县服装加工行业专项整治2022年度经费绩效目标表</w:t>
      </w:r>
      <w:bookmarkEnd w:id="17"/>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13102322P00628410002C</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永清县服装加工行业专项整治2022年度经费</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20000.00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20000.00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主要用于以危险化学品行业专项整治2022年度经费</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r>
              <w:t>25%</w:t>
            </w:r>
          </w:p>
        </w:tc>
        <w:tc>
          <w:tcPr>
            <w:tcW w:w="1587" w:type="dxa"/>
            <w:tcBorders>
              <w:left w:val="single" w:sz="6" w:space="0" w:color="000000"/>
            </w:tcBorders>
            <w:vAlign w:val="center"/>
          </w:tcPr>
          <w:p>
            <w:pPr>
              <w:pStyle w:val="28"/>
            </w:pPr>
            <w:r>
              <w:t>50%</w:t>
            </w:r>
          </w:p>
        </w:tc>
        <w:tc>
          <w:tcPr>
            <w:tcW w:w="1304" w:type="dxa"/>
            <w:tcBorders>
              <w:left w:val="single" w:sz="6" w:space="0" w:color="000000"/>
            </w:tcBorders>
            <w:vAlign w:val="center"/>
          </w:tcPr>
          <w:p>
            <w:pPr>
              <w:pStyle w:val="28"/>
            </w:pPr>
            <w:r>
              <w:t>75%</w:t>
            </w: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通过项目的开展统筹负责企业专项整治工作部署、调度、信息收集和报送等工作；统筹资源力量，综合部署，扎实推动各项工作任务落实；定期研究工作，协调解决重大问题，开展好专项整治行动，确保全县安全生产形势持续稳定。</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日常安全生产监察督导次数</w:t>
            </w:r>
          </w:p>
        </w:tc>
        <w:tc>
          <w:tcPr>
            <w:tcW w:w="2891" w:type="dxa"/>
            <w:tcBorders>
              <w:left w:val="single" w:sz="6" w:space="0" w:color="000000"/>
            </w:tcBorders>
            <w:vAlign w:val="center"/>
          </w:tcPr>
          <w:p>
            <w:pPr>
              <w:pStyle w:val="27"/>
            </w:pPr>
            <w:r>
              <w:t>日常安全生产监察督导次数</w:t>
            </w:r>
          </w:p>
        </w:tc>
        <w:tc>
          <w:tcPr>
            <w:tcW w:w="1276" w:type="dxa"/>
            <w:tcBorders>
              <w:left w:val="single" w:sz="6" w:space="0" w:color="000000"/>
            </w:tcBorders>
            <w:vAlign w:val="center"/>
          </w:tcPr>
          <w:p>
            <w:pPr>
              <w:pStyle w:val="27"/>
            </w:pPr>
            <w:r>
              <w:t>≥1次</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执法检查企业家数与企业数量占比率</w:t>
            </w:r>
          </w:p>
        </w:tc>
        <w:tc>
          <w:tcPr>
            <w:tcW w:w="2891" w:type="dxa"/>
            <w:tcBorders>
              <w:left w:val="single" w:sz="6" w:space="0" w:color="000000"/>
            </w:tcBorders>
            <w:vAlign w:val="center"/>
          </w:tcPr>
          <w:p>
            <w:pPr>
              <w:pStyle w:val="27"/>
            </w:pPr>
            <w:r>
              <w:t>执法检查企业家数与企业数量占比率</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企业隐患排查及时率</w:t>
            </w:r>
          </w:p>
        </w:tc>
        <w:tc>
          <w:tcPr>
            <w:tcW w:w="2891" w:type="dxa"/>
            <w:tcBorders>
              <w:left w:val="single" w:sz="6" w:space="0" w:color="000000"/>
            </w:tcBorders>
            <w:vAlign w:val="center"/>
          </w:tcPr>
          <w:p>
            <w:pPr>
              <w:pStyle w:val="27"/>
            </w:pPr>
            <w:r>
              <w:t>企业隐患排查及时率</w:t>
            </w:r>
          </w:p>
        </w:tc>
        <w:tc>
          <w:tcPr>
            <w:tcW w:w="1276" w:type="dxa"/>
            <w:tcBorders>
              <w:left w:val="single" w:sz="6" w:space="0" w:color="000000"/>
            </w:tcBorders>
            <w:vAlign w:val="center"/>
          </w:tcPr>
          <w:p>
            <w:pPr>
              <w:pStyle w:val="27"/>
            </w:pPr>
            <w:r>
              <w:t>及时</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成本控制率</w:t>
            </w:r>
          </w:p>
        </w:tc>
        <w:tc>
          <w:tcPr>
            <w:tcW w:w="2891" w:type="dxa"/>
            <w:tcBorders>
              <w:left w:val="single" w:sz="6" w:space="0" w:color="000000"/>
            </w:tcBorders>
            <w:vAlign w:val="center"/>
          </w:tcPr>
          <w:p>
            <w:pPr>
              <w:pStyle w:val="27"/>
            </w:pPr>
            <w:r>
              <w:t>完成项目计划工作目标的实际节约成本与计划成本的比率，用以反映和考核项目的成本节约程度</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实施方案</w:t>
            </w:r>
          </w:p>
        </w:tc>
      </w:tr>
      <w:tr>
        <w:trPr>
          <w:trHeight w:val="369"/>
        </w:trPr>
        <w:tc>
          <w:tcPr>
            <w:tcW w:w="1276" w:type="dxa"/>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提升企业安全生产意识</w:t>
            </w:r>
          </w:p>
        </w:tc>
        <w:tc>
          <w:tcPr>
            <w:tcW w:w="2891" w:type="dxa"/>
            <w:tcBorders>
              <w:left w:val="single" w:sz="6" w:space="0" w:color="000000"/>
            </w:tcBorders>
            <w:vAlign w:val="center"/>
          </w:tcPr>
          <w:p>
            <w:pPr>
              <w:pStyle w:val="27"/>
            </w:pPr>
            <w:r>
              <w:t>考察提高企业安全生产意识情况</w:t>
            </w:r>
          </w:p>
        </w:tc>
        <w:tc>
          <w:tcPr>
            <w:tcW w:w="1276" w:type="dxa"/>
            <w:tcBorders>
              <w:left w:val="single" w:sz="6" w:space="0" w:color="000000"/>
            </w:tcBorders>
            <w:vAlign w:val="center"/>
          </w:tcPr>
          <w:p>
            <w:pPr>
              <w:pStyle w:val="27"/>
            </w:pPr>
            <w:r>
              <w:t>有效提升</w:t>
            </w:r>
          </w:p>
        </w:tc>
        <w:tc>
          <w:tcPr>
            <w:tcW w:w="1843" w:type="dxa"/>
            <w:tcBorders>
              <w:left w:val="single" w:sz="6" w:space="0" w:color="000000"/>
            </w:tcBorders>
            <w:vAlign w:val="center"/>
          </w:tcPr>
          <w:p>
            <w:pPr>
              <w:pStyle w:val="27"/>
            </w:pPr>
            <w:r>
              <w:t>调查问卷</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企业对此项工作的满意度</w:t>
            </w:r>
          </w:p>
        </w:tc>
        <w:tc>
          <w:tcPr>
            <w:tcW w:w="2891" w:type="dxa"/>
            <w:tcBorders>
              <w:left w:val="single" w:sz="6" w:space="0" w:color="000000"/>
            </w:tcBorders>
            <w:vAlign w:val="center"/>
          </w:tcPr>
          <w:p>
            <w:pPr>
              <w:pStyle w:val="27"/>
            </w:pPr>
            <w:r>
              <w:t>考察企业的满意度情况</w:t>
            </w:r>
          </w:p>
        </w:tc>
        <w:tc>
          <w:tcPr>
            <w:tcW w:w="1276" w:type="dxa"/>
            <w:tcBorders>
              <w:left w:val="single" w:sz="6" w:space="0" w:color="000000"/>
            </w:tcBorders>
            <w:vAlign w:val="center"/>
          </w:tcPr>
          <w:p>
            <w:pPr>
              <w:pStyle w:val="27"/>
            </w:pPr>
            <w:r>
              <w:t>≥95%</w:t>
            </w:r>
          </w:p>
        </w:tc>
        <w:tc>
          <w:tcPr>
            <w:tcW w:w="1843" w:type="dxa"/>
            <w:tcBorders>
              <w:left w:val="single" w:sz="6" w:space="0" w:color="000000"/>
            </w:tcBorders>
            <w:vAlign w:val="center"/>
          </w:tcPr>
          <w:p>
            <w:pPr>
              <w:pStyle w:val="27"/>
            </w:pPr>
            <w:r>
              <w:t>调查问卷</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18" w:name="_Toc_4_4_0000000021"/>
      <w:r>
        <w:rPr>
          <w:rFonts w:ascii="方正仿宋_GBK" w:eastAsia="方正仿宋_GBK" w:cs="方正仿宋_GBK" w:hAnsi="方正仿宋_GBK"/>
          <w:color w:val="000000"/>
          <w:sz w:val="28"/>
        </w:rPr>
        <w:t>18.永清县工贸行业可燃性粉尘专项整治2022年度经费绩效目标表</w:t>
      </w:r>
      <w:bookmarkEnd w:id="18"/>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13102322P006282100021</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永清县工贸行业可燃性粉尘专项整治2022年度经费</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20000.00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20000.00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主要用于以危险化学品行业专项整治2022年度经费</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r>
              <w:t>25%</w:t>
            </w:r>
          </w:p>
        </w:tc>
        <w:tc>
          <w:tcPr>
            <w:tcW w:w="1587" w:type="dxa"/>
            <w:tcBorders>
              <w:left w:val="single" w:sz="6" w:space="0" w:color="000000"/>
            </w:tcBorders>
            <w:vAlign w:val="center"/>
          </w:tcPr>
          <w:p>
            <w:pPr>
              <w:pStyle w:val="28"/>
            </w:pPr>
            <w:r>
              <w:t>50%</w:t>
            </w:r>
          </w:p>
        </w:tc>
        <w:tc>
          <w:tcPr>
            <w:tcW w:w="1304" w:type="dxa"/>
            <w:tcBorders>
              <w:left w:val="single" w:sz="6" w:space="0" w:color="000000"/>
            </w:tcBorders>
            <w:vAlign w:val="center"/>
          </w:tcPr>
          <w:p>
            <w:pPr>
              <w:pStyle w:val="28"/>
            </w:pPr>
            <w:r>
              <w:t>75%</w:t>
            </w: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通过项目的开展统筹负责企业专项整治工作部署、调度、信息收集和报送等工作；统筹资源力量，综合部署，扎实推动各项工作任务落实；定期研究工作，协调解决重大问题，开展好专项整治行动，确保全县安全生产形势持续稳定。</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日常安全生产监察督导次数</w:t>
            </w:r>
          </w:p>
        </w:tc>
        <w:tc>
          <w:tcPr>
            <w:tcW w:w="2891" w:type="dxa"/>
            <w:tcBorders>
              <w:left w:val="single" w:sz="6" w:space="0" w:color="000000"/>
            </w:tcBorders>
            <w:vAlign w:val="center"/>
          </w:tcPr>
          <w:p>
            <w:pPr>
              <w:pStyle w:val="27"/>
            </w:pPr>
            <w:r>
              <w:t>日常安全生产监察督导次数</w:t>
            </w:r>
          </w:p>
        </w:tc>
        <w:tc>
          <w:tcPr>
            <w:tcW w:w="1276" w:type="dxa"/>
            <w:tcBorders>
              <w:left w:val="single" w:sz="6" w:space="0" w:color="000000"/>
            </w:tcBorders>
            <w:vAlign w:val="center"/>
          </w:tcPr>
          <w:p>
            <w:pPr>
              <w:pStyle w:val="27"/>
            </w:pPr>
            <w:r>
              <w:t>≥1次</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执法检查企业家数与企业数量占比率</w:t>
            </w:r>
          </w:p>
        </w:tc>
        <w:tc>
          <w:tcPr>
            <w:tcW w:w="2891" w:type="dxa"/>
            <w:tcBorders>
              <w:left w:val="single" w:sz="6" w:space="0" w:color="000000"/>
            </w:tcBorders>
            <w:vAlign w:val="center"/>
          </w:tcPr>
          <w:p>
            <w:pPr>
              <w:pStyle w:val="27"/>
            </w:pPr>
            <w:r>
              <w:t>执法检查企业家数与企业数量占比率</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企业隐患排查及时率</w:t>
            </w:r>
          </w:p>
        </w:tc>
        <w:tc>
          <w:tcPr>
            <w:tcW w:w="2891" w:type="dxa"/>
            <w:tcBorders>
              <w:left w:val="single" w:sz="6" w:space="0" w:color="000000"/>
            </w:tcBorders>
            <w:vAlign w:val="center"/>
          </w:tcPr>
          <w:p>
            <w:pPr>
              <w:pStyle w:val="27"/>
            </w:pPr>
            <w:r>
              <w:t>企业隐患排查及时率</w:t>
            </w:r>
          </w:p>
        </w:tc>
        <w:tc>
          <w:tcPr>
            <w:tcW w:w="1276" w:type="dxa"/>
            <w:tcBorders>
              <w:left w:val="single" w:sz="6" w:space="0" w:color="000000"/>
            </w:tcBorders>
            <w:vAlign w:val="center"/>
          </w:tcPr>
          <w:p>
            <w:pPr>
              <w:pStyle w:val="27"/>
            </w:pPr>
            <w:r>
              <w:t>及时</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成本控制率</w:t>
            </w:r>
          </w:p>
        </w:tc>
        <w:tc>
          <w:tcPr>
            <w:tcW w:w="2891" w:type="dxa"/>
            <w:tcBorders>
              <w:left w:val="single" w:sz="6" w:space="0" w:color="000000"/>
            </w:tcBorders>
            <w:vAlign w:val="center"/>
          </w:tcPr>
          <w:p>
            <w:pPr>
              <w:pStyle w:val="27"/>
            </w:pPr>
            <w:r>
              <w:t>完成项目计划工作目标的实际节约成本与计划成本的比率，用以反映和考核项目的成本节约程度</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实施方案</w:t>
            </w:r>
          </w:p>
        </w:tc>
      </w:tr>
      <w:tr>
        <w:trPr>
          <w:trHeight w:val="369"/>
        </w:trPr>
        <w:tc>
          <w:tcPr>
            <w:tcW w:w="1276" w:type="dxa"/>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提升企业安全生产意识</w:t>
            </w:r>
          </w:p>
        </w:tc>
        <w:tc>
          <w:tcPr>
            <w:tcW w:w="2891" w:type="dxa"/>
            <w:tcBorders>
              <w:left w:val="single" w:sz="6" w:space="0" w:color="000000"/>
            </w:tcBorders>
            <w:vAlign w:val="center"/>
          </w:tcPr>
          <w:p>
            <w:pPr>
              <w:pStyle w:val="27"/>
            </w:pPr>
            <w:r>
              <w:t>考察提高企业安全生产意识情况</w:t>
            </w:r>
          </w:p>
        </w:tc>
        <w:tc>
          <w:tcPr>
            <w:tcW w:w="1276" w:type="dxa"/>
            <w:tcBorders>
              <w:left w:val="single" w:sz="6" w:space="0" w:color="000000"/>
            </w:tcBorders>
            <w:vAlign w:val="center"/>
          </w:tcPr>
          <w:p>
            <w:pPr>
              <w:pStyle w:val="27"/>
            </w:pPr>
            <w:r>
              <w:t>有效提升</w:t>
            </w:r>
          </w:p>
        </w:tc>
        <w:tc>
          <w:tcPr>
            <w:tcW w:w="1843" w:type="dxa"/>
            <w:tcBorders>
              <w:left w:val="single" w:sz="6" w:space="0" w:color="000000"/>
            </w:tcBorders>
            <w:vAlign w:val="center"/>
          </w:tcPr>
          <w:p>
            <w:pPr>
              <w:pStyle w:val="27"/>
            </w:pPr>
            <w:r>
              <w:t>调查问卷</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企业对此项工作的满意度</w:t>
            </w:r>
          </w:p>
        </w:tc>
        <w:tc>
          <w:tcPr>
            <w:tcW w:w="2891" w:type="dxa"/>
            <w:tcBorders>
              <w:left w:val="single" w:sz="6" w:space="0" w:color="000000"/>
            </w:tcBorders>
            <w:vAlign w:val="center"/>
          </w:tcPr>
          <w:p>
            <w:pPr>
              <w:pStyle w:val="27"/>
            </w:pPr>
            <w:r>
              <w:t>考察企业的满意度情况</w:t>
            </w:r>
          </w:p>
        </w:tc>
        <w:tc>
          <w:tcPr>
            <w:tcW w:w="1276" w:type="dxa"/>
            <w:tcBorders>
              <w:left w:val="single" w:sz="6" w:space="0" w:color="000000"/>
            </w:tcBorders>
            <w:vAlign w:val="center"/>
          </w:tcPr>
          <w:p>
            <w:pPr>
              <w:pStyle w:val="27"/>
            </w:pPr>
            <w:r>
              <w:t>≥95%</w:t>
            </w:r>
          </w:p>
        </w:tc>
        <w:tc>
          <w:tcPr>
            <w:tcW w:w="1843" w:type="dxa"/>
            <w:tcBorders>
              <w:left w:val="single" w:sz="6" w:space="0" w:color="000000"/>
            </w:tcBorders>
            <w:vAlign w:val="center"/>
          </w:tcPr>
          <w:p>
            <w:pPr>
              <w:pStyle w:val="27"/>
            </w:pPr>
            <w:r>
              <w:t>调查问卷</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19" w:name="_Toc_4_4_0000000022"/>
      <w:r>
        <w:rPr>
          <w:rFonts w:ascii="方正仿宋_GBK" w:eastAsia="方正仿宋_GBK" w:cs="方正仿宋_GBK" w:hAnsi="方正仿宋_GBK"/>
          <w:color w:val="000000"/>
          <w:sz w:val="28"/>
        </w:rPr>
        <w:t>19.永清县危险化学品行业专项整治2022年度经费绩效目标表</w:t>
      </w:r>
      <w:bookmarkEnd w:id="19"/>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13102322P00628110002B</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永清县危险化学品行业专项整治2022年度经费</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20000.00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20000.00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主要用于以危险化学品行业专项整治2022年度经费</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r>
              <w:t>25%</w:t>
            </w:r>
          </w:p>
        </w:tc>
        <w:tc>
          <w:tcPr>
            <w:tcW w:w="1587" w:type="dxa"/>
            <w:tcBorders>
              <w:left w:val="single" w:sz="6" w:space="0" w:color="000000"/>
            </w:tcBorders>
            <w:vAlign w:val="center"/>
          </w:tcPr>
          <w:p>
            <w:pPr>
              <w:pStyle w:val="28"/>
            </w:pPr>
            <w:r>
              <w:t>50%</w:t>
            </w:r>
          </w:p>
        </w:tc>
        <w:tc>
          <w:tcPr>
            <w:tcW w:w="1304" w:type="dxa"/>
            <w:tcBorders>
              <w:left w:val="single" w:sz="6" w:space="0" w:color="000000"/>
            </w:tcBorders>
            <w:vAlign w:val="center"/>
          </w:tcPr>
          <w:p>
            <w:pPr>
              <w:pStyle w:val="28"/>
            </w:pPr>
            <w:r>
              <w:t>75%</w:t>
            </w: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通过项目的开展统筹负责企业专项整治工作部署、调度、信息收集和报送等工作；统筹资源力量，综合部署，扎实推动各项工作任务落实；定期研究工作，协调解决重大问题，开展好专项整治行动，确保全县安全生产形势持续稳定。</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日常安全生产监察督导次数</w:t>
            </w:r>
          </w:p>
        </w:tc>
        <w:tc>
          <w:tcPr>
            <w:tcW w:w="2891" w:type="dxa"/>
            <w:tcBorders>
              <w:left w:val="single" w:sz="6" w:space="0" w:color="000000"/>
            </w:tcBorders>
            <w:vAlign w:val="center"/>
          </w:tcPr>
          <w:p>
            <w:pPr>
              <w:pStyle w:val="27"/>
            </w:pPr>
            <w:r>
              <w:t>日常安全生产监察督导次数</w:t>
            </w:r>
          </w:p>
        </w:tc>
        <w:tc>
          <w:tcPr>
            <w:tcW w:w="1276" w:type="dxa"/>
            <w:tcBorders>
              <w:left w:val="single" w:sz="6" w:space="0" w:color="000000"/>
            </w:tcBorders>
            <w:vAlign w:val="center"/>
          </w:tcPr>
          <w:p>
            <w:pPr>
              <w:pStyle w:val="27"/>
            </w:pPr>
            <w:r>
              <w:t>≥1次</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执法检查企业家数与企业数量占比率</w:t>
            </w:r>
          </w:p>
        </w:tc>
        <w:tc>
          <w:tcPr>
            <w:tcW w:w="2891" w:type="dxa"/>
            <w:tcBorders>
              <w:left w:val="single" w:sz="6" w:space="0" w:color="000000"/>
            </w:tcBorders>
            <w:vAlign w:val="center"/>
          </w:tcPr>
          <w:p>
            <w:pPr>
              <w:pStyle w:val="27"/>
            </w:pPr>
            <w:r>
              <w:t>执法检查企业家数与企业数量占比率</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企业隐患排查及时率</w:t>
            </w:r>
          </w:p>
        </w:tc>
        <w:tc>
          <w:tcPr>
            <w:tcW w:w="2891" w:type="dxa"/>
            <w:tcBorders>
              <w:left w:val="single" w:sz="6" w:space="0" w:color="000000"/>
            </w:tcBorders>
            <w:vAlign w:val="center"/>
          </w:tcPr>
          <w:p>
            <w:pPr>
              <w:pStyle w:val="27"/>
            </w:pPr>
            <w:r>
              <w:t>企业隐患排查及时率</w:t>
            </w:r>
          </w:p>
        </w:tc>
        <w:tc>
          <w:tcPr>
            <w:tcW w:w="1276" w:type="dxa"/>
            <w:tcBorders>
              <w:left w:val="single" w:sz="6" w:space="0" w:color="000000"/>
            </w:tcBorders>
            <w:vAlign w:val="center"/>
          </w:tcPr>
          <w:p>
            <w:pPr>
              <w:pStyle w:val="27"/>
            </w:pPr>
            <w:r>
              <w:t>及时</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成本控制率</w:t>
            </w:r>
          </w:p>
        </w:tc>
        <w:tc>
          <w:tcPr>
            <w:tcW w:w="2891" w:type="dxa"/>
            <w:tcBorders>
              <w:left w:val="single" w:sz="6" w:space="0" w:color="000000"/>
            </w:tcBorders>
            <w:vAlign w:val="center"/>
          </w:tcPr>
          <w:p>
            <w:pPr>
              <w:pStyle w:val="27"/>
            </w:pPr>
            <w:r>
              <w:t>完成项目计划工作目标的实际节约成本与计划成本的比率，用以反映和考核项目的成本节约程度</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实施方案</w:t>
            </w:r>
          </w:p>
        </w:tc>
      </w:tr>
      <w:tr>
        <w:trPr>
          <w:trHeight w:val="369"/>
        </w:trPr>
        <w:tc>
          <w:tcPr>
            <w:tcW w:w="1276" w:type="dxa"/>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提升企业安全生产意识</w:t>
            </w:r>
          </w:p>
        </w:tc>
        <w:tc>
          <w:tcPr>
            <w:tcW w:w="2891" w:type="dxa"/>
            <w:tcBorders>
              <w:left w:val="single" w:sz="6" w:space="0" w:color="000000"/>
            </w:tcBorders>
            <w:vAlign w:val="center"/>
          </w:tcPr>
          <w:p>
            <w:pPr>
              <w:pStyle w:val="27"/>
            </w:pPr>
            <w:r>
              <w:t>考察提高企业安全生产意识情况</w:t>
            </w:r>
          </w:p>
        </w:tc>
        <w:tc>
          <w:tcPr>
            <w:tcW w:w="1276" w:type="dxa"/>
            <w:tcBorders>
              <w:left w:val="single" w:sz="6" w:space="0" w:color="000000"/>
            </w:tcBorders>
            <w:vAlign w:val="center"/>
          </w:tcPr>
          <w:p>
            <w:pPr>
              <w:pStyle w:val="27"/>
            </w:pPr>
            <w:r>
              <w:t>有效提升</w:t>
            </w:r>
          </w:p>
        </w:tc>
        <w:tc>
          <w:tcPr>
            <w:tcW w:w="1843" w:type="dxa"/>
            <w:tcBorders>
              <w:left w:val="single" w:sz="6" w:space="0" w:color="000000"/>
            </w:tcBorders>
            <w:vAlign w:val="center"/>
          </w:tcPr>
          <w:p>
            <w:pPr>
              <w:pStyle w:val="27"/>
            </w:pPr>
            <w:r>
              <w:t>调查问卷</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企业对此项工作的满意度</w:t>
            </w:r>
          </w:p>
        </w:tc>
        <w:tc>
          <w:tcPr>
            <w:tcW w:w="2891" w:type="dxa"/>
            <w:tcBorders>
              <w:left w:val="single" w:sz="6" w:space="0" w:color="000000"/>
            </w:tcBorders>
            <w:vAlign w:val="center"/>
          </w:tcPr>
          <w:p>
            <w:pPr>
              <w:pStyle w:val="27"/>
            </w:pPr>
            <w:r>
              <w:t>考察企业的满意度情况</w:t>
            </w:r>
          </w:p>
        </w:tc>
        <w:tc>
          <w:tcPr>
            <w:tcW w:w="1276" w:type="dxa"/>
            <w:tcBorders>
              <w:left w:val="single" w:sz="6" w:space="0" w:color="000000"/>
            </w:tcBorders>
            <w:vAlign w:val="center"/>
          </w:tcPr>
          <w:p>
            <w:pPr>
              <w:pStyle w:val="27"/>
            </w:pPr>
            <w:r>
              <w:t>≥95%</w:t>
            </w:r>
          </w:p>
        </w:tc>
        <w:tc>
          <w:tcPr>
            <w:tcW w:w="1843" w:type="dxa"/>
            <w:tcBorders>
              <w:left w:val="single" w:sz="6" w:space="0" w:color="000000"/>
            </w:tcBorders>
            <w:vAlign w:val="center"/>
          </w:tcPr>
          <w:p>
            <w:pPr>
              <w:pStyle w:val="27"/>
            </w:pPr>
            <w:r>
              <w:t>调查问卷</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20" w:name="_Toc_4_4_0000000023"/>
      <w:r>
        <w:rPr>
          <w:rFonts w:ascii="方正仿宋_GBK" w:eastAsia="方正仿宋_GBK" w:cs="方正仿宋_GBK" w:hAnsi="方正仿宋_GBK"/>
          <w:color w:val="000000"/>
          <w:sz w:val="28"/>
        </w:rPr>
        <w:t>20.永清县冶金安全专项整治三年行动2022年度经费绩效目标表</w:t>
      </w:r>
      <w:bookmarkEnd w:id="20"/>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13102322P00628310003A</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永清县冶金安全专项整治三年行动2022年度经费</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20000.00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20000.00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全面落实国家、省、市、县关于安全生产专项整治三年行动部署要求，扎实推动各项工作任务落实落细。</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r>
              <w:t>30%</w:t>
            </w:r>
          </w:p>
        </w:tc>
        <w:tc>
          <w:tcPr>
            <w:tcW w:w="1587" w:type="dxa"/>
            <w:tcBorders>
              <w:left w:val="single" w:sz="6" w:space="0" w:color="000000"/>
            </w:tcBorders>
            <w:vAlign w:val="center"/>
          </w:tcPr>
          <w:p>
            <w:pPr>
              <w:pStyle w:val="28"/>
            </w:pPr>
            <w:r>
              <w:t>60%</w:t>
            </w:r>
          </w:p>
        </w:tc>
        <w:tc>
          <w:tcPr>
            <w:tcW w:w="1304" w:type="dxa"/>
            <w:tcBorders>
              <w:left w:val="single" w:sz="6" w:space="0" w:color="000000"/>
            </w:tcBorders>
            <w:vAlign w:val="center"/>
          </w:tcPr>
          <w:p>
            <w:pPr>
              <w:pStyle w:val="28"/>
            </w:pPr>
            <w:r>
              <w:t>90%</w:t>
            </w: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1.通过项目的开展，年度内及时完成    有效减少一般事故、严防较大事故、全面遏制重特大事故，确保全县安全生产形势持续稳定。</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检查次数</w:t>
            </w:r>
          </w:p>
        </w:tc>
        <w:tc>
          <w:tcPr>
            <w:tcW w:w="2891" w:type="dxa"/>
            <w:tcBorders>
              <w:left w:val="single" w:sz="6" w:space="0" w:color="000000"/>
            </w:tcBorders>
            <w:vAlign w:val="center"/>
          </w:tcPr>
          <w:p>
            <w:pPr>
              <w:pStyle w:val="27"/>
            </w:pPr>
            <w:r>
              <w:t>考察项目年度内检查次数</w:t>
            </w:r>
          </w:p>
        </w:tc>
        <w:tc>
          <w:tcPr>
            <w:tcW w:w="1276" w:type="dxa"/>
            <w:tcBorders>
              <w:left w:val="single" w:sz="6" w:space="0" w:color="000000"/>
            </w:tcBorders>
            <w:vAlign w:val="center"/>
          </w:tcPr>
          <w:p>
            <w:pPr>
              <w:pStyle w:val="27"/>
            </w:pPr>
            <w:r>
              <w:t>1次</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检查覆盖率</w:t>
            </w:r>
          </w:p>
        </w:tc>
        <w:tc>
          <w:tcPr>
            <w:tcW w:w="2891" w:type="dxa"/>
            <w:tcBorders>
              <w:left w:val="single" w:sz="6" w:space="0" w:color="000000"/>
            </w:tcBorders>
            <w:vAlign w:val="center"/>
          </w:tcPr>
          <w:p>
            <w:pPr>
              <w:pStyle w:val="27"/>
            </w:pPr>
            <w:r>
              <w:t>考察项目域内覆盖率</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及时性</w:t>
            </w:r>
          </w:p>
        </w:tc>
        <w:tc>
          <w:tcPr>
            <w:tcW w:w="2891" w:type="dxa"/>
            <w:tcBorders>
              <w:left w:val="single" w:sz="6" w:space="0" w:color="000000"/>
            </w:tcBorders>
            <w:vAlign w:val="center"/>
          </w:tcPr>
          <w:p>
            <w:pPr>
              <w:pStyle w:val="27"/>
            </w:pPr>
            <w:r>
              <w:t>考察项目能否在12月底前完成</w:t>
            </w:r>
          </w:p>
        </w:tc>
        <w:tc>
          <w:tcPr>
            <w:tcW w:w="1276" w:type="dxa"/>
            <w:tcBorders>
              <w:left w:val="single" w:sz="6" w:space="0" w:color="000000"/>
            </w:tcBorders>
            <w:vAlign w:val="center"/>
          </w:tcPr>
          <w:p>
            <w:pPr>
              <w:pStyle w:val="27"/>
            </w:pPr>
            <w:r>
              <w:t>≤12月</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单位成本</w:t>
            </w:r>
          </w:p>
        </w:tc>
        <w:tc>
          <w:tcPr>
            <w:tcW w:w="2891" w:type="dxa"/>
            <w:tcBorders>
              <w:left w:val="single" w:sz="6" w:space="0" w:color="000000"/>
            </w:tcBorders>
            <w:vAlign w:val="center"/>
          </w:tcPr>
          <w:p>
            <w:pPr>
              <w:pStyle w:val="27"/>
            </w:pPr>
            <w:r>
              <w:t>考察项目每次检查成本控制情况</w:t>
            </w:r>
          </w:p>
        </w:tc>
        <w:tc>
          <w:tcPr>
            <w:tcW w:w="1276" w:type="dxa"/>
            <w:tcBorders>
              <w:left w:val="single" w:sz="6" w:space="0" w:color="000000"/>
            </w:tcBorders>
            <w:vAlign w:val="center"/>
          </w:tcPr>
          <w:p>
            <w:pPr>
              <w:pStyle w:val="27"/>
            </w:pPr>
            <w:r>
              <w:t>≤10万/次</w:t>
            </w:r>
          </w:p>
        </w:tc>
        <w:tc>
          <w:tcPr>
            <w:tcW w:w="1843" w:type="dxa"/>
            <w:tcBorders>
              <w:left w:val="single" w:sz="6" w:space="0" w:color="000000"/>
            </w:tcBorders>
            <w:vAlign w:val="center"/>
          </w:tcPr>
          <w:p>
            <w:pPr>
              <w:pStyle w:val="27"/>
            </w:pPr>
            <w:r>
              <w:t>实施方案</w:t>
            </w:r>
          </w:p>
        </w:tc>
      </w:tr>
      <w:tr>
        <w:trPr>
          <w:trHeight w:val="369"/>
        </w:trPr>
        <w:tc>
          <w:tcPr>
            <w:tcW w:w="1276" w:type="dxa"/>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减少事故发生</w:t>
            </w:r>
          </w:p>
        </w:tc>
        <w:tc>
          <w:tcPr>
            <w:tcW w:w="2891" w:type="dxa"/>
            <w:tcBorders>
              <w:left w:val="single" w:sz="6" w:space="0" w:color="000000"/>
            </w:tcBorders>
            <w:vAlign w:val="center"/>
          </w:tcPr>
          <w:p>
            <w:pPr>
              <w:pStyle w:val="27"/>
            </w:pPr>
            <w:r>
              <w:t>减少各类安全隐患</w:t>
            </w:r>
          </w:p>
        </w:tc>
        <w:tc>
          <w:tcPr>
            <w:tcW w:w="1276" w:type="dxa"/>
            <w:tcBorders>
              <w:left w:val="single" w:sz="6" w:space="0" w:color="000000"/>
            </w:tcBorders>
            <w:vAlign w:val="center"/>
          </w:tcPr>
          <w:p>
            <w:pPr>
              <w:pStyle w:val="27"/>
            </w:pPr>
            <w:r>
              <w:t>减少</w:t>
            </w:r>
          </w:p>
        </w:tc>
        <w:tc>
          <w:tcPr>
            <w:tcW w:w="1843" w:type="dxa"/>
            <w:tcBorders>
              <w:left w:val="single" w:sz="6" w:space="0" w:color="000000"/>
            </w:tcBorders>
            <w:vAlign w:val="center"/>
          </w:tcPr>
          <w:p>
            <w:pPr>
              <w:pStyle w:val="27"/>
            </w:pPr>
            <w:r>
              <w:t>工作总结</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企业满意度</w:t>
            </w:r>
          </w:p>
        </w:tc>
        <w:tc>
          <w:tcPr>
            <w:tcW w:w="2891" w:type="dxa"/>
            <w:tcBorders>
              <w:left w:val="single" w:sz="6" w:space="0" w:color="000000"/>
            </w:tcBorders>
            <w:vAlign w:val="center"/>
          </w:tcPr>
          <w:p>
            <w:pPr>
              <w:pStyle w:val="27"/>
            </w:pPr>
            <w:r>
              <w:t>企业满意度</w:t>
            </w:r>
          </w:p>
        </w:tc>
        <w:tc>
          <w:tcPr>
            <w:tcW w:w="1276" w:type="dxa"/>
            <w:tcBorders>
              <w:left w:val="single" w:sz="6" w:space="0" w:color="000000"/>
            </w:tcBorders>
            <w:vAlign w:val="center"/>
          </w:tcPr>
          <w:p>
            <w:pPr>
              <w:pStyle w:val="27"/>
            </w:pPr>
            <w:r>
              <w:t>≥90%</w:t>
            </w:r>
          </w:p>
        </w:tc>
        <w:tc>
          <w:tcPr>
            <w:tcW w:w="1843" w:type="dxa"/>
            <w:tcBorders>
              <w:left w:val="single" w:sz="6" w:space="0" w:color="000000"/>
            </w:tcBorders>
            <w:vAlign w:val="center"/>
          </w:tcPr>
          <w:p>
            <w:pPr>
              <w:pStyle w:val="27"/>
            </w:pPr>
            <w:r>
              <w:t>问卷调查</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21" w:name="_Toc_4_4_0000000024"/>
      <w:r>
        <w:rPr>
          <w:rFonts w:ascii="方正仿宋_GBK" w:eastAsia="方正仿宋_GBK" w:cs="方正仿宋_GBK" w:hAnsi="方正仿宋_GBK"/>
          <w:color w:val="000000"/>
          <w:sz w:val="28"/>
        </w:rPr>
        <w:t>21.永清县应急管理局信息化建设项目绩效目标表</w:t>
      </w:r>
      <w:bookmarkEnd w:id="21"/>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13102322P00629010002W</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永清县应急管理局信息化建设项目</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40000.00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40000.00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用于支付项目建设工程款</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p>
        </w:tc>
        <w:tc>
          <w:tcPr>
            <w:tcW w:w="1587" w:type="dxa"/>
            <w:tcBorders>
              <w:left w:val="single" w:sz="6" w:space="0" w:color="000000"/>
            </w:tcBorders>
            <w:vAlign w:val="center"/>
          </w:tcPr>
          <w:p>
            <w:pPr>
              <w:pStyle w:val="28"/>
            </w:pPr>
            <w:r>
              <w:t>100%</w:t>
            </w:r>
          </w:p>
        </w:tc>
        <w:tc>
          <w:tcPr>
            <w:tcW w:w="1304" w:type="dxa"/>
            <w:tcBorders>
              <w:left w:val="single" w:sz="6" w:space="0" w:color="000000"/>
            </w:tcBorders>
            <w:vAlign w:val="center"/>
          </w:tcPr>
          <w:p>
            <w:pPr>
              <w:pStyle w:val="28"/>
            </w:pPr>
            <w:r>
              <w:t>100%</w:t>
            </w: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1.通过项目的开展，年度内及时支付合同进度款4万元，完善应急管理体系以投入实战化应用。</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建设信息化系统平台数量</w:t>
            </w:r>
          </w:p>
        </w:tc>
        <w:tc>
          <w:tcPr>
            <w:tcW w:w="2891" w:type="dxa"/>
            <w:tcBorders>
              <w:left w:val="single" w:sz="6" w:space="0" w:color="000000"/>
            </w:tcBorders>
            <w:vAlign w:val="center"/>
          </w:tcPr>
          <w:p>
            <w:pPr>
              <w:pStyle w:val="27"/>
            </w:pPr>
            <w:r>
              <w:t>考察建设信息平台系统数量情况</w:t>
            </w:r>
          </w:p>
        </w:tc>
        <w:tc>
          <w:tcPr>
            <w:tcW w:w="1276" w:type="dxa"/>
            <w:tcBorders>
              <w:left w:val="single" w:sz="6" w:space="0" w:color="000000"/>
            </w:tcBorders>
            <w:vAlign w:val="center"/>
          </w:tcPr>
          <w:p>
            <w:pPr>
              <w:pStyle w:val="27"/>
            </w:pPr>
            <w:r>
              <w:t>＝2个</w:t>
            </w:r>
          </w:p>
        </w:tc>
        <w:tc>
          <w:tcPr>
            <w:tcW w:w="1843" w:type="dxa"/>
            <w:tcBorders>
              <w:left w:val="single" w:sz="6" w:space="0" w:color="000000"/>
            </w:tcBorders>
            <w:vAlign w:val="center"/>
          </w:tcPr>
          <w:p>
            <w:pPr>
              <w:pStyle w:val="27"/>
            </w:pPr>
            <w:r>
              <w:t>服务合同</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项目建设验收合规率</w:t>
            </w:r>
          </w:p>
        </w:tc>
        <w:tc>
          <w:tcPr>
            <w:tcW w:w="2891" w:type="dxa"/>
            <w:tcBorders>
              <w:left w:val="single" w:sz="6" w:space="0" w:color="000000"/>
            </w:tcBorders>
            <w:vAlign w:val="center"/>
          </w:tcPr>
          <w:p>
            <w:pPr>
              <w:pStyle w:val="27"/>
            </w:pPr>
            <w:r>
              <w:t>反映项目建设的合格率情况</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验收报告</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完成及时性</w:t>
            </w:r>
          </w:p>
        </w:tc>
        <w:tc>
          <w:tcPr>
            <w:tcW w:w="2891" w:type="dxa"/>
            <w:tcBorders>
              <w:left w:val="single" w:sz="6" w:space="0" w:color="000000"/>
            </w:tcBorders>
            <w:vAlign w:val="center"/>
          </w:tcPr>
          <w:p>
            <w:pPr>
              <w:pStyle w:val="27"/>
            </w:pPr>
            <w:r>
              <w:t>考察项目能否在年底前完成</w:t>
            </w:r>
          </w:p>
        </w:tc>
        <w:tc>
          <w:tcPr>
            <w:tcW w:w="1276" w:type="dxa"/>
            <w:tcBorders>
              <w:left w:val="single" w:sz="6" w:space="0" w:color="000000"/>
            </w:tcBorders>
            <w:vAlign w:val="center"/>
          </w:tcPr>
          <w:p>
            <w:pPr>
              <w:pStyle w:val="27"/>
            </w:pPr>
            <w:r>
              <w:t>≤12月</w:t>
            </w:r>
          </w:p>
        </w:tc>
        <w:tc>
          <w:tcPr>
            <w:tcW w:w="1843" w:type="dxa"/>
            <w:tcBorders>
              <w:left w:val="single" w:sz="6" w:space="0" w:color="000000"/>
            </w:tcBorders>
            <w:vAlign w:val="center"/>
          </w:tcPr>
          <w:p>
            <w:pPr>
              <w:pStyle w:val="27"/>
            </w:pPr>
            <w:r>
              <w:t>工作计划</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成本控制率</w:t>
            </w:r>
          </w:p>
        </w:tc>
        <w:tc>
          <w:tcPr>
            <w:tcW w:w="2891" w:type="dxa"/>
            <w:tcBorders>
              <w:left w:val="single" w:sz="6" w:space="0" w:color="000000"/>
            </w:tcBorders>
            <w:vAlign w:val="center"/>
          </w:tcPr>
          <w:p>
            <w:pPr>
              <w:pStyle w:val="27"/>
            </w:pPr>
            <w:r>
              <w:t>完成项目计划工作目标的实际节约成本与计划成本的比率，用以反映和考核项目的成本节约程度</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服务合同</w:t>
            </w:r>
          </w:p>
        </w:tc>
      </w:tr>
      <w:tr>
        <w:trPr>
          <w:trHeight w:val="369"/>
        </w:trPr>
        <w:tc>
          <w:tcPr>
            <w:tcW w:w="1276" w:type="dxa"/>
            <w:vMerge w:val="restart"/>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提升监测预警能力，保障人民生命财产安全</w:t>
            </w:r>
          </w:p>
        </w:tc>
        <w:tc>
          <w:tcPr>
            <w:tcW w:w="2891" w:type="dxa"/>
            <w:tcBorders>
              <w:left w:val="single" w:sz="6" w:space="0" w:color="000000"/>
            </w:tcBorders>
            <w:vAlign w:val="center"/>
          </w:tcPr>
          <w:p>
            <w:pPr>
              <w:pStyle w:val="27"/>
            </w:pPr>
            <w:r>
              <w:t>考察项目实施提高监测预警能力情况</w:t>
            </w:r>
          </w:p>
        </w:tc>
        <w:tc>
          <w:tcPr>
            <w:tcW w:w="1276" w:type="dxa"/>
            <w:tcBorders>
              <w:left w:val="single" w:sz="6" w:space="0" w:color="000000"/>
            </w:tcBorders>
            <w:vAlign w:val="center"/>
          </w:tcPr>
          <w:p>
            <w:pPr>
              <w:pStyle w:val="27"/>
            </w:pPr>
            <w:r>
              <w:t>有效提升</w:t>
            </w:r>
          </w:p>
        </w:tc>
        <w:tc>
          <w:tcPr>
            <w:tcW w:w="1843" w:type="dxa"/>
            <w:tcBorders>
              <w:left w:val="single" w:sz="6" w:space="0" w:color="000000"/>
            </w:tcBorders>
            <w:vAlign w:val="center"/>
          </w:tcPr>
          <w:p>
            <w:pPr>
              <w:pStyle w:val="27"/>
            </w:pPr>
            <w:r>
              <w:t>调查问卷</w:t>
            </w:r>
          </w:p>
        </w:tc>
      </w:tr>
      <w:tr>
        <w:trPr>
          <w:trHeight w:val="369"/>
        </w:trPr>
        <w:tc>
          <w:tcPr>
            <w:tcW w:w="1276" w:type="dxa"/>
            <w:vMerge/>
            <w:vAlign w:val="center"/>
          </w:tcPr>
          <w:p/>
        </w:tc>
        <w:tc>
          <w:tcPr>
            <w:tcW w:w="1276" w:type="dxa"/>
            <w:tcBorders>
              <w:left w:val="single" w:sz="6" w:space="0" w:color="000000"/>
            </w:tcBorders>
            <w:vAlign w:val="center"/>
          </w:tcPr>
          <w:p>
            <w:pPr>
              <w:pStyle w:val="27"/>
            </w:pPr>
            <w:r>
              <w:t>可持续影响指标</w:t>
            </w:r>
          </w:p>
        </w:tc>
        <w:tc>
          <w:tcPr>
            <w:tcW w:w="1332" w:type="dxa"/>
            <w:tcBorders>
              <w:left w:val="single" w:sz="6" w:space="0" w:color="000000"/>
            </w:tcBorders>
            <w:vAlign w:val="center"/>
          </w:tcPr>
          <w:p>
            <w:pPr>
              <w:pStyle w:val="27"/>
            </w:pPr>
            <w:r>
              <w:t>我县安全生产形势稳定持续发展</w:t>
            </w:r>
          </w:p>
        </w:tc>
        <w:tc>
          <w:tcPr>
            <w:tcW w:w="2891" w:type="dxa"/>
            <w:tcBorders>
              <w:left w:val="single" w:sz="6" w:space="0" w:color="000000"/>
            </w:tcBorders>
            <w:vAlign w:val="center"/>
          </w:tcPr>
          <w:p>
            <w:pPr>
              <w:pStyle w:val="27"/>
            </w:pPr>
            <w:r>
              <w:t>加强隐患排查增强全民安全生产意识</w:t>
            </w:r>
          </w:p>
        </w:tc>
        <w:tc>
          <w:tcPr>
            <w:tcW w:w="1276" w:type="dxa"/>
            <w:tcBorders>
              <w:left w:val="single" w:sz="6" w:space="0" w:color="000000"/>
            </w:tcBorders>
            <w:vAlign w:val="center"/>
          </w:tcPr>
          <w:p>
            <w:pPr>
              <w:pStyle w:val="27"/>
            </w:pPr>
            <w:r>
              <w:t>有效提升</w:t>
            </w:r>
          </w:p>
        </w:tc>
        <w:tc>
          <w:tcPr>
            <w:tcW w:w="1843" w:type="dxa"/>
            <w:tcBorders>
              <w:left w:val="single" w:sz="6" w:space="0" w:color="000000"/>
            </w:tcBorders>
            <w:vAlign w:val="center"/>
          </w:tcPr>
          <w:p>
            <w:pPr>
              <w:pStyle w:val="27"/>
            </w:pPr>
            <w:r>
              <w:t>调查问卷</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社会公众满意度调查</w:t>
            </w:r>
          </w:p>
        </w:tc>
        <w:tc>
          <w:tcPr>
            <w:tcW w:w="2891" w:type="dxa"/>
            <w:tcBorders>
              <w:left w:val="single" w:sz="6" w:space="0" w:color="000000"/>
            </w:tcBorders>
            <w:vAlign w:val="center"/>
          </w:tcPr>
          <w:p>
            <w:pPr>
              <w:pStyle w:val="27"/>
            </w:pPr>
            <w:r>
              <w:t>社会公众的满意度调查</w:t>
            </w:r>
          </w:p>
        </w:tc>
        <w:tc>
          <w:tcPr>
            <w:tcW w:w="1276" w:type="dxa"/>
            <w:tcBorders>
              <w:left w:val="single" w:sz="6" w:space="0" w:color="000000"/>
            </w:tcBorders>
            <w:vAlign w:val="center"/>
          </w:tcPr>
          <w:p>
            <w:pPr>
              <w:pStyle w:val="27"/>
            </w:pPr>
            <w:r>
              <w:t>≥95%</w:t>
            </w:r>
          </w:p>
        </w:tc>
        <w:tc>
          <w:tcPr>
            <w:tcW w:w="1843" w:type="dxa"/>
            <w:tcBorders>
              <w:left w:val="single" w:sz="6" w:space="0" w:color="000000"/>
            </w:tcBorders>
            <w:vAlign w:val="center"/>
          </w:tcPr>
          <w:p>
            <w:pPr>
              <w:pStyle w:val="27"/>
            </w:pPr>
            <w:r>
              <w:t>调查问卷</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22" w:name="_Toc_4_4_0000000025"/>
      <w:r>
        <w:rPr>
          <w:rFonts w:ascii="方正仿宋_GBK" w:eastAsia="方正仿宋_GBK" w:cs="方正仿宋_GBK" w:hAnsi="方正仿宋_GBK"/>
          <w:color w:val="000000"/>
          <w:sz w:val="28"/>
        </w:rPr>
        <w:t>22.永清县应急管理局信息化建设项目监理服务绩效目标表</w:t>
      </w:r>
      <w:bookmarkEnd w:id="22"/>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13102322P00629110002J</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永清县应急管理局信息化建设项目监理服务</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40000.00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40000.00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预算资金4万元，其中财政资金4万元，主要用于支付永清县应急管理局应急管理信息化建设项目监理服务费用。</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p>
        </w:tc>
        <w:tc>
          <w:tcPr>
            <w:tcW w:w="1587" w:type="dxa"/>
            <w:tcBorders>
              <w:left w:val="single" w:sz="6" w:space="0" w:color="000000"/>
            </w:tcBorders>
            <w:vAlign w:val="center"/>
          </w:tcPr>
          <w:p>
            <w:pPr>
              <w:pStyle w:val="28"/>
            </w:pPr>
            <w:r>
              <w:t>100%</w:t>
            </w:r>
          </w:p>
        </w:tc>
        <w:tc>
          <w:tcPr>
            <w:tcW w:w="1304" w:type="dxa"/>
            <w:tcBorders>
              <w:left w:val="single" w:sz="6" w:space="0" w:color="000000"/>
            </w:tcBorders>
            <w:vAlign w:val="center"/>
          </w:tcPr>
          <w:p>
            <w:pPr>
              <w:pStyle w:val="28"/>
            </w:pPr>
            <w:r>
              <w:t>100%</w:t>
            </w: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1.通过项目的开展，年度内及时支付合同进度款4万元，完善应急系统以投入实战化应用。</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建设应急平台系统数量</w:t>
            </w:r>
          </w:p>
        </w:tc>
        <w:tc>
          <w:tcPr>
            <w:tcW w:w="2891" w:type="dxa"/>
            <w:tcBorders>
              <w:left w:val="single" w:sz="6" w:space="0" w:color="000000"/>
            </w:tcBorders>
            <w:vAlign w:val="center"/>
          </w:tcPr>
          <w:p>
            <w:pPr>
              <w:pStyle w:val="27"/>
            </w:pPr>
            <w:r>
              <w:t>考察建设应急平台系统数量情况</w:t>
            </w:r>
          </w:p>
        </w:tc>
        <w:tc>
          <w:tcPr>
            <w:tcW w:w="1276" w:type="dxa"/>
            <w:tcBorders>
              <w:left w:val="single" w:sz="6" w:space="0" w:color="000000"/>
            </w:tcBorders>
            <w:vAlign w:val="center"/>
          </w:tcPr>
          <w:p>
            <w:pPr>
              <w:pStyle w:val="27"/>
            </w:pPr>
            <w:r>
              <w:t>＝1套</w:t>
            </w:r>
          </w:p>
        </w:tc>
        <w:tc>
          <w:tcPr>
            <w:tcW w:w="1843" w:type="dxa"/>
            <w:tcBorders>
              <w:left w:val="single" w:sz="6" w:space="0" w:color="000000"/>
            </w:tcBorders>
            <w:vAlign w:val="center"/>
          </w:tcPr>
          <w:p>
            <w:pPr>
              <w:pStyle w:val="27"/>
            </w:pPr>
            <w:r>
              <w:t>服务合同、监理日志</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验收合格率</w:t>
            </w:r>
          </w:p>
        </w:tc>
        <w:tc>
          <w:tcPr>
            <w:tcW w:w="2891" w:type="dxa"/>
            <w:tcBorders>
              <w:left w:val="single" w:sz="6" w:space="0" w:color="000000"/>
            </w:tcBorders>
            <w:vAlign w:val="center"/>
          </w:tcPr>
          <w:p>
            <w:pPr>
              <w:pStyle w:val="27"/>
            </w:pPr>
            <w:r>
              <w:t>验收合格率</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相关验收标准</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完成及时性</w:t>
            </w:r>
          </w:p>
        </w:tc>
        <w:tc>
          <w:tcPr>
            <w:tcW w:w="2891" w:type="dxa"/>
            <w:tcBorders>
              <w:left w:val="single" w:sz="6" w:space="0" w:color="000000"/>
            </w:tcBorders>
            <w:vAlign w:val="center"/>
          </w:tcPr>
          <w:p>
            <w:pPr>
              <w:pStyle w:val="27"/>
            </w:pPr>
            <w:r>
              <w:t>考察项目能否在年底前完成</w:t>
            </w:r>
          </w:p>
        </w:tc>
        <w:tc>
          <w:tcPr>
            <w:tcW w:w="1276" w:type="dxa"/>
            <w:tcBorders>
              <w:left w:val="single" w:sz="6" w:space="0" w:color="000000"/>
            </w:tcBorders>
            <w:vAlign w:val="center"/>
          </w:tcPr>
          <w:p>
            <w:pPr>
              <w:pStyle w:val="27"/>
            </w:pPr>
            <w:r>
              <w:t>≤12月</w:t>
            </w:r>
          </w:p>
        </w:tc>
        <w:tc>
          <w:tcPr>
            <w:tcW w:w="1843" w:type="dxa"/>
            <w:tcBorders>
              <w:left w:val="single" w:sz="6" w:space="0" w:color="000000"/>
            </w:tcBorders>
            <w:vAlign w:val="center"/>
          </w:tcPr>
          <w:p>
            <w:pPr>
              <w:pStyle w:val="27"/>
            </w:pPr>
            <w:r>
              <w:t>工作计划</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成本控制率</w:t>
            </w:r>
          </w:p>
        </w:tc>
        <w:tc>
          <w:tcPr>
            <w:tcW w:w="2891" w:type="dxa"/>
            <w:tcBorders>
              <w:left w:val="single" w:sz="6" w:space="0" w:color="000000"/>
            </w:tcBorders>
            <w:vAlign w:val="center"/>
          </w:tcPr>
          <w:p>
            <w:pPr>
              <w:pStyle w:val="27"/>
            </w:pPr>
            <w:r>
              <w:t>完成项目计划工作目标的实际节约成本与计划成本的比率，用以反映和考核项目的成本节约程度</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服务合同</w:t>
            </w:r>
          </w:p>
        </w:tc>
      </w:tr>
      <w:tr>
        <w:trPr>
          <w:trHeight w:val="369"/>
        </w:trPr>
        <w:tc>
          <w:tcPr>
            <w:tcW w:w="1276" w:type="dxa"/>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提升监测预警能力</w:t>
            </w:r>
          </w:p>
        </w:tc>
        <w:tc>
          <w:tcPr>
            <w:tcW w:w="2891" w:type="dxa"/>
            <w:tcBorders>
              <w:left w:val="single" w:sz="6" w:space="0" w:color="000000"/>
            </w:tcBorders>
            <w:vAlign w:val="center"/>
          </w:tcPr>
          <w:p>
            <w:pPr>
              <w:pStyle w:val="27"/>
            </w:pPr>
            <w:r>
              <w:t>考察项目实施提高监测预警能力情况</w:t>
            </w:r>
          </w:p>
        </w:tc>
        <w:tc>
          <w:tcPr>
            <w:tcW w:w="1276" w:type="dxa"/>
            <w:tcBorders>
              <w:left w:val="single" w:sz="6" w:space="0" w:color="000000"/>
            </w:tcBorders>
            <w:vAlign w:val="center"/>
          </w:tcPr>
          <w:p>
            <w:pPr>
              <w:pStyle w:val="27"/>
            </w:pPr>
            <w:r>
              <w:t>有效提升</w:t>
            </w:r>
          </w:p>
        </w:tc>
        <w:tc>
          <w:tcPr>
            <w:tcW w:w="1843" w:type="dxa"/>
            <w:tcBorders>
              <w:left w:val="single" w:sz="6" w:space="0" w:color="000000"/>
            </w:tcBorders>
            <w:vAlign w:val="center"/>
          </w:tcPr>
          <w:p>
            <w:pPr>
              <w:pStyle w:val="27"/>
            </w:pPr>
            <w:r>
              <w:t>调查问卷</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使用人员满意度调查</w:t>
            </w:r>
          </w:p>
        </w:tc>
        <w:tc>
          <w:tcPr>
            <w:tcW w:w="2891" w:type="dxa"/>
            <w:tcBorders>
              <w:left w:val="single" w:sz="6" w:space="0" w:color="000000"/>
            </w:tcBorders>
            <w:vAlign w:val="center"/>
          </w:tcPr>
          <w:p>
            <w:pPr>
              <w:pStyle w:val="27"/>
            </w:pPr>
            <w:r>
              <w:t>使用人员的满意度调查</w:t>
            </w:r>
          </w:p>
        </w:tc>
        <w:tc>
          <w:tcPr>
            <w:tcW w:w="1276" w:type="dxa"/>
            <w:tcBorders>
              <w:left w:val="single" w:sz="6" w:space="0" w:color="000000"/>
            </w:tcBorders>
            <w:vAlign w:val="center"/>
          </w:tcPr>
          <w:p>
            <w:pPr>
              <w:pStyle w:val="27"/>
            </w:pPr>
            <w:r>
              <w:t>≥95%</w:t>
            </w:r>
          </w:p>
        </w:tc>
        <w:tc>
          <w:tcPr>
            <w:tcW w:w="1843" w:type="dxa"/>
            <w:tcBorders>
              <w:left w:val="single" w:sz="6" w:space="0" w:color="000000"/>
            </w:tcBorders>
            <w:vAlign w:val="center"/>
          </w:tcPr>
          <w:p>
            <w:pPr>
              <w:pStyle w:val="27"/>
            </w:pPr>
            <w:r>
              <w:t>调查问卷</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23" w:name="_Toc_4_4_0000000026"/>
      <w:r>
        <w:rPr>
          <w:rFonts w:ascii="方正仿宋_GBK" w:eastAsia="方正仿宋_GBK" w:cs="方正仿宋_GBK" w:hAnsi="方正仿宋_GBK"/>
          <w:color w:val="000000"/>
          <w:sz w:val="28"/>
        </w:rPr>
        <w:t>23.永清县应急管理局政府应急预案演练绩效目标表</w:t>
      </w:r>
      <w:bookmarkEnd w:id="23"/>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13102322P00M22810002E</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永清县应急管理局政府应急预案演练</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50000.00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50000.00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通过督导检查，最大限度地发现、纠正、督促企业消除各类隐患，避免减少事故的发生。</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p>
        </w:tc>
        <w:tc>
          <w:tcPr>
            <w:tcW w:w="1587" w:type="dxa"/>
            <w:tcBorders>
              <w:left w:val="single" w:sz="6" w:space="0" w:color="000000"/>
            </w:tcBorders>
            <w:vAlign w:val="center"/>
          </w:tcPr>
          <w:p>
            <w:pPr>
              <w:pStyle w:val="28"/>
            </w:pPr>
          </w:p>
        </w:tc>
        <w:tc>
          <w:tcPr>
            <w:tcW w:w="1304" w:type="dxa"/>
            <w:tcBorders>
              <w:left w:val="single" w:sz="6" w:space="0" w:color="000000"/>
            </w:tcBorders>
            <w:vAlign w:val="center"/>
          </w:tcPr>
          <w:p>
            <w:pPr>
              <w:pStyle w:val="28"/>
            </w:pPr>
            <w:r>
              <w:t>50%</w:t>
            </w: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1.通过项目的开展，完成政府应急预案演练，提升应急救援队伍协作能力、救援能力，保证快速、有效应急处置能力</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应急演练次数</w:t>
            </w:r>
          </w:p>
        </w:tc>
        <w:tc>
          <w:tcPr>
            <w:tcW w:w="2891" w:type="dxa"/>
            <w:tcBorders>
              <w:left w:val="single" w:sz="6" w:space="0" w:color="000000"/>
            </w:tcBorders>
            <w:vAlign w:val="center"/>
          </w:tcPr>
          <w:p>
            <w:pPr>
              <w:pStyle w:val="27"/>
            </w:pPr>
            <w:r>
              <w:t>应急演练次数情况</w:t>
            </w:r>
          </w:p>
        </w:tc>
        <w:tc>
          <w:tcPr>
            <w:tcW w:w="1276" w:type="dxa"/>
            <w:tcBorders>
              <w:left w:val="single" w:sz="6" w:space="0" w:color="000000"/>
            </w:tcBorders>
            <w:vAlign w:val="center"/>
          </w:tcPr>
          <w:p>
            <w:pPr>
              <w:pStyle w:val="27"/>
            </w:pPr>
            <w:r>
              <w:t>≥2次</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应急演练达标率</w:t>
            </w:r>
          </w:p>
        </w:tc>
        <w:tc>
          <w:tcPr>
            <w:tcW w:w="2891" w:type="dxa"/>
            <w:tcBorders>
              <w:left w:val="single" w:sz="6" w:space="0" w:color="000000"/>
            </w:tcBorders>
            <w:vAlign w:val="center"/>
          </w:tcPr>
          <w:p>
            <w:pPr>
              <w:pStyle w:val="27"/>
            </w:pPr>
            <w:r>
              <w:t>反映应急演练的达标情况</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应急演练完成及时率</w:t>
            </w:r>
          </w:p>
        </w:tc>
        <w:tc>
          <w:tcPr>
            <w:tcW w:w="2891" w:type="dxa"/>
            <w:tcBorders>
              <w:left w:val="single" w:sz="6" w:space="0" w:color="000000"/>
            </w:tcBorders>
            <w:vAlign w:val="center"/>
          </w:tcPr>
          <w:p>
            <w:pPr>
              <w:pStyle w:val="27"/>
            </w:pPr>
            <w:r>
              <w:t>应急演练完成及时情况</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pPr>
            <w:r>
              <w:t>实施方案</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单位成本</w:t>
            </w:r>
          </w:p>
        </w:tc>
        <w:tc>
          <w:tcPr>
            <w:tcW w:w="2891" w:type="dxa"/>
            <w:tcBorders>
              <w:left w:val="single" w:sz="6" w:space="0" w:color="000000"/>
            </w:tcBorders>
            <w:vAlign w:val="center"/>
          </w:tcPr>
          <w:p>
            <w:pPr>
              <w:pStyle w:val="27"/>
            </w:pPr>
            <w:r>
              <w:t>考察项目单次成本控制情况</w:t>
            </w:r>
          </w:p>
        </w:tc>
        <w:tc>
          <w:tcPr>
            <w:tcW w:w="1276" w:type="dxa"/>
            <w:tcBorders>
              <w:left w:val="single" w:sz="6" w:space="0" w:color="000000"/>
            </w:tcBorders>
            <w:vAlign w:val="center"/>
          </w:tcPr>
          <w:p>
            <w:pPr>
              <w:pStyle w:val="27"/>
            </w:pPr>
            <w:r>
              <w:t>≤2.5万元/次</w:t>
            </w:r>
          </w:p>
        </w:tc>
        <w:tc>
          <w:tcPr>
            <w:tcW w:w="1843" w:type="dxa"/>
            <w:tcBorders>
              <w:left w:val="single" w:sz="6" w:space="0" w:color="000000"/>
            </w:tcBorders>
            <w:vAlign w:val="center"/>
          </w:tcPr>
          <w:p>
            <w:pPr>
              <w:pStyle w:val="27"/>
            </w:pPr>
            <w:r>
              <w:t>实施方案</w:t>
            </w:r>
          </w:p>
        </w:tc>
      </w:tr>
      <w:tr>
        <w:trPr>
          <w:trHeight w:val="369"/>
        </w:trPr>
        <w:tc>
          <w:tcPr>
            <w:tcW w:w="1276" w:type="dxa"/>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应急队伍配合能力提升</w:t>
            </w:r>
          </w:p>
        </w:tc>
        <w:tc>
          <w:tcPr>
            <w:tcW w:w="2891" w:type="dxa"/>
            <w:tcBorders>
              <w:left w:val="single" w:sz="6" w:space="0" w:color="000000"/>
            </w:tcBorders>
            <w:vAlign w:val="center"/>
          </w:tcPr>
          <w:p>
            <w:pPr>
              <w:pStyle w:val="27"/>
            </w:pPr>
            <w:r>
              <w:t>考察项目保障事故救援能快速、有效处置能力</w:t>
            </w:r>
          </w:p>
        </w:tc>
        <w:tc>
          <w:tcPr>
            <w:tcW w:w="1276" w:type="dxa"/>
            <w:tcBorders>
              <w:left w:val="single" w:sz="6" w:space="0" w:color="000000"/>
            </w:tcBorders>
            <w:vAlign w:val="center"/>
          </w:tcPr>
          <w:p>
            <w:pPr>
              <w:pStyle w:val="27"/>
            </w:pPr>
            <w:r>
              <w:t>有所提升</w:t>
            </w:r>
          </w:p>
        </w:tc>
        <w:tc>
          <w:tcPr>
            <w:tcW w:w="1843" w:type="dxa"/>
            <w:tcBorders>
              <w:left w:val="single" w:sz="6" w:space="0" w:color="000000"/>
            </w:tcBorders>
            <w:vAlign w:val="center"/>
          </w:tcPr>
          <w:p>
            <w:pPr>
              <w:pStyle w:val="27"/>
            </w:pPr>
            <w:r>
              <w:t>问卷调查</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社会公众满意度调查</w:t>
            </w:r>
          </w:p>
        </w:tc>
        <w:tc>
          <w:tcPr>
            <w:tcW w:w="2891" w:type="dxa"/>
            <w:tcBorders>
              <w:left w:val="single" w:sz="6" w:space="0" w:color="000000"/>
            </w:tcBorders>
            <w:vAlign w:val="center"/>
          </w:tcPr>
          <w:p>
            <w:pPr>
              <w:pStyle w:val="27"/>
            </w:pPr>
            <w:r>
              <w:t>社会公众满意度调查</w:t>
            </w:r>
          </w:p>
        </w:tc>
        <w:tc>
          <w:tcPr>
            <w:tcW w:w="1276" w:type="dxa"/>
            <w:tcBorders>
              <w:left w:val="single" w:sz="6" w:space="0" w:color="000000"/>
            </w:tcBorders>
            <w:vAlign w:val="center"/>
          </w:tcPr>
          <w:p>
            <w:pPr>
              <w:pStyle w:val="27"/>
            </w:pPr>
            <w:r>
              <w:t>≥95%</w:t>
            </w:r>
          </w:p>
        </w:tc>
        <w:tc>
          <w:tcPr>
            <w:tcW w:w="1843" w:type="dxa"/>
            <w:tcBorders>
              <w:left w:val="single" w:sz="6" w:space="0" w:color="000000"/>
            </w:tcBorders>
            <w:vAlign w:val="center"/>
          </w:tcPr>
          <w:p>
            <w:pPr>
              <w:pStyle w:val="27"/>
            </w:pPr>
            <w:r>
              <w:t>调查问卷</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24" w:name="_Toc_4_4_0000000027"/>
      <w:r>
        <w:rPr>
          <w:rFonts w:ascii="方正仿宋_GBK" w:eastAsia="方正仿宋_GBK" w:cs="方正仿宋_GBK" w:hAnsi="方正仿宋_GBK"/>
          <w:color w:val="000000"/>
          <w:sz w:val="28"/>
        </w:rPr>
        <w:t>24.重大危险源监控系统所需专线网络费绩效目标表</w:t>
      </w:r>
      <w:bookmarkEnd w:id="24"/>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13102322P006278100018</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重大危险源监控系统所需专线网络费</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90000.00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90000.00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pPr>
            <w:r>
              <w:t>预算资金9万元，其中财政资金9万元主要用于对重大危险源监控系统所需专线网络费，及时协调、解决监督管理工作中存在的重大问题,防范安全事故发生。</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r>
              <w:t>20%</w:t>
            </w:r>
          </w:p>
        </w:tc>
        <w:tc>
          <w:tcPr>
            <w:tcW w:w="1587" w:type="dxa"/>
            <w:tcBorders>
              <w:left w:val="single" w:sz="6" w:space="0" w:color="000000"/>
            </w:tcBorders>
            <w:vAlign w:val="center"/>
          </w:tcPr>
          <w:p>
            <w:pPr>
              <w:pStyle w:val="28"/>
            </w:pPr>
            <w:r>
              <w:t>20%</w:t>
            </w:r>
          </w:p>
        </w:tc>
        <w:tc>
          <w:tcPr>
            <w:tcW w:w="1304" w:type="dxa"/>
            <w:tcBorders>
              <w:left w:val="single" w:sz="6" w:space="0" w:color="000000"/>
            </w:tcBorders>
            <w:vAlign w:val="center"/>
          </w:tcPr>
          <w:p>
            <w:pPr>
              <w:pStyle w:val="28"/>
            </w:pPr>
            <w:r>
              <w:t>40%</w:t>
            </w: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pPr>
            <w:r>
              <w:t>1.对重大危险源专线及时维护，确保系统正常使用。</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pPr>
            <w:r>
              <w:t>数量指标</w:t>
            </w:r>
          </w:p>
        </w:tc>
        <w:tc>
          <w:tcPr>
            <w:tcW w:w="1332" w:type="dxa"/>
            <w:tcBorders>
              <w:left w:val="single" w:sz="6" w:space="0" w:color="000000"/>
            </w:tcBorders>
            <w:vAlign w:val="center"/>
          </w:tcPr>
          <w:p>
            <w:pPr>
              <w:pStyle w:val="27"/>
            </w:pPr>
            <w:r>
              <w:t>重点监控企业数量</w:t>
            </w:r>
          </w:p>
        </w:tc>
        <w:tc>
          <w:tcPr>
            <w:tcW w:w="2891" w:type="dxa"/>
            <w:tcBorders>
              <w:left w:val="single" w:sz="6" w:space="0" w:color="000000"/>
            </w:tcBorders>
            <w:vAlign w:val="center"/>
          </w:tcPr>
          <w:p>
            <w:pPr>
              <w:pStyle w:val="27"/>
            </w:pPr>
            <w:r>
              <w:t>反映需重点监控的企业数量</w:t>
            </w:r>
          </w:p>
        </w:tc>
        <w:tc>
          <w:tcPr>
            <w:tcW w:w="1276" w:type="dxa"/>
            <w:tcBorders>
              <w:left w:val="single" w:sz="6" w:space="0" w:color="000000"/>
            </w:tcBorders>
            <w:vAlign w:val="center"/>
          </w:tcPr>
          <w:p>
            <w:pPr>
              <w:pStyle w:val="27"/>
            </w:pPr>
            <w:r>
              <w:t>≥3家</w:t>
            </w:r>
          </w:p>
        </w:tc>
        <w:tc>
          <w:tcPr>
            <w:tcW w:w="1843"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危险化学品重大危险源监督管理暂行规定（国家安监总局令第79号）</w:t>
            </w:r>
          </w:p>
        </w:tc>
      </w:tr>
      <w:tr>
        <w:trPr>
          <w:trHeight w:val="369"/>
        </w:trPr>
        <w:tc>
          <w:tcPr>
            <w:tcW w:w="1276" w:type="dxa"/>
            <w:vMerge/>
            <w:vAlign w:val="center"/>
          </w:tcPr>
          <w:p/>
        </w:tc>
        <w:tc>
          <w:tcPr>
            <w:tcW w:w="1276" w:type="dxa"/>
            <w:tcBorders>
              <w:left w:val="single" w:sz="6" w:space="0" w:color="000000"/>
            </w:tcBorders>
            <w:vAlign w:val="center"/>
          </w:tcPr>
          <w:p>
            <w:pPr>
              <w:pStyle w:val="27"/>
            </w:pPr>
            <w:r>
              <w:t>质量指标</w:t>
            </w:r>
          </w:p>
        </w:tc>
        <w:tc>
          <w:tcPr>
            <w:tcW w:w="1332" w:type="dxa"/>
            <w:tcBorders>
              <w:left w:val="single" w:sz="6" w:space="0" w:color="000000"/>
            </w:tcBorders>
            <w:vAlign w:val="center"/>
          </w:tcPr>
          <w:p>
            <w:pPr>
              <w:pStyle w:val="27"/>
            </w:pPr>
            <w:r>
              <w:t>系统正常使用率</w:t>
            </w:r>
          </w:p>
        </w:tc>
        <w:tc>
          <w:tcPr>
            <w:tcW w:w="2891" w:type="dxa"/>
            <w:tcBorders>
              <w:left w:val="single" w:sz="6" w:space="0" w:color="000000"/>
            </w:tcBorders>
            <w:vAlign w:val="center"/>
          </w:tcPr>
          <w:p>
            <w:pPr>
              <w:pStyle w:val="27"/>
            </w:pPr>
            <w:r>
              <w:t>反映系统正常使用情况，系统正常使用率=正常使用天数/全年总天数*100%</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280" w:lineRule="exact"/>
              <w:textAlignment w:val="auto"/>
            </w:pPr>
            <w:r>
              <w:t>危险化学品重大危险源监督管理暂行规定（国家安监总局令第79号）</w:t>
            </w:r>
          </w:p>
        </w:tc>
      </w:tr>
      <w:tr>
        <w:trPr>
          <w:trHeight w:val="369"/>
        </w:trPr>
        <w:tc>
          <w:tcPr>
            <w:tcW w:w="1276" w:type="dxa"/>
            <w:vMerge/>
            <w:vAlign w:val="center"/>
          </w:tcPr>
          <w:p/>
        </w:tc>
        <w:tc>
          <w:tcPr>
            <w:tcW w:w="1276" w:type="dxa"/>
            <w:tcBorders>
              <w:left w:val="single" w:sz="6" w:space="0" w:color="000000"/>
            </w:tcBorders>
            <w:vAlign w:val="center"/>
          </w:tcPr>
          <w:p>
            <w:pPr>
              <w:pStyle w:val="27"/>
            </w:pPr>
            <w:r>
              <w:t>时效指标</w:t>
            </w:r>
          </w:p>
        </w:tc>
        <w:tc>
          <w:tcPr>
            <w:tcW w:w="1332" w:type="dxa"/>
            <w:tcBorders>
              <w:left w:val="single" w:sz="6" w:space="0" w:color="000000"/>
            </w:tcBorders>
            <w:vAlign w:val="center"/>
          </w:tcPr>
          <w:p>
            <w:pPr>
              <w:pStyle w:val="27"/>
            </w:pPr>
            <w:r>
              <w:t>网络故障维护及时率</w:t>
            </w:r>
          </w:p>
        </w:tc>
        <w:tc>
          <w:tcPr>
            <w:tcW w:w="2891" w:type="dxa"/>
            <w:tcBorders>
              <w:left w:val="single" w:sz="6" w:space="0" w:color="000000"/>
            </w:tcBorders>
            <w:vAlign w:val="center"/>
          </w:tcPr>
          <w:p>
            <w:pPr>
              <w:pStyle w:val="27"/>
            </w:pPr>
            <w:r>
              <w:t>发生故障是否及时维护</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280" w:lineRule="exact"/>
              <w:textAlignment w:val="auto"/>
            </w:pPr>
            <w:r>
              <w:t>危险化学品重大危险源监督管理暂行规定（国家安监总局令第79号）</w:t>
            </w:r>
          </w:p>
        </w:tc>
      </w:tr>
      <w:tr>
        <w:trPr>
          <w:trHeight w:val="369"/>
        </w:trPr>
        <w:tc>
          <w:tcPr>
            <w:tcW w:w="1276" w:type="dxa"/>
            <w:vMerge/>
            <w:vAlign w:val="center"/>
          </w:tcPr>
          <w:p/>
        </w:tc>
        <w:tc>
          <w:tcPr>
            <w:tcW w:w="1276" w:type="dxa"/>
            <w:tcBorders>
              <w:left w:val="single" w:sz="6" w:space="0" w:color="000000"/>
            </w:tcBorders>
            <w:vAlign w:val="center"/>
          </w:tcPr>
          <w:p>
            <w:pPr>
              <w:pStyle w:val="27"/>
            </w:pPr>
            <w:r>
              <w:t>成本指标</w:t>
            </w:r>
          </w:p>
        </w:tc>
        <w:tc>
          <w:tcPr>
            <w:tcW w:w="1332" w:type="dxa"/>
            <w:tcBorders>
              <w:left w:val="single" w:sz="6" w:space="0" w:color="000000"/>
            </w:tcBorders>
            <w:vAlign w:val="center"/>
          </w:tcPr>
          <w:p>
            <w:pPr>
              <w:pStyle w:val="27"/>
            </w:pPr>
            <w:r>
              <w:t>总成本控制</w:t>
            </w:r>
          </w:p>
        </w:tc>
        <w:tc>
          <w:tcPr>
            <w:tcW w:w="2891" w:type="dxa"/>
            <w:tcBorders>
              <w:left w:val="single" w:sz="6" w:space="0" w:color="000000"/>
            </w:tcBorders>
            <w:vAlign w:val="center"/>
          </w:tcPr>
          <w:p>
            <w:pPr>
              <w:pStyle w:val="27"/>
            </w:pPr>
            <w:r>
              <w:t>反映成本控制情况</w:t>
            </w:r>
          </w:p>
        </w:tc>
        <w:tc>
          <w:tcPr>
            <w:tcW w:w="1276" w:type="dxa"/>
            <w:tcBorders>
              <w:left w:val="single" w:sz="6" w:space="0" w:color="000000"/>
            </w:tcBorders>
            <w:vAlign w:val="center"/>
          </w:tcPr>
          <w:p>
            <w:pPr>
              <w:pStyle w:val="27"/>
            </w:pPr>
            <w:r>
              <w:t>≤9万</w:t>
            </w:r>
          </w:p>
        </w:tc>
        <w:tc>
          <w:tcPr>
            <w:tcW w:w="1843"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280" w:lineRule="exact"/>
              <w:textAlignment w:val="auto"/>
            </w:pPr>
            <w:r>
              <w:t>危险化学品重大危险源监督管理暂行规定（国家安监总局令第79号）</w:t>
            </w:r>
          </w:p>
        </w:tc>
      </w:tr>
      <w:tr>
        <w:trPr>
          <w:trHeight w:val="369"/>
        </w:trPr>
        <w:tc>
          <w:tcPr>
            <w:tcW w:w="1276" w:type="dxa"/>
            <w:vAlign w:val="center"/>
          </w:tcPr>
          <w:p>
            <w:pPr>
              <w:pStyle w:val="28"/>
            </w:pPr>
            <w:r>
              <w:t>效益指标</w:t>
            </w:r>
          </w:p>
        </w:tc>
        <w:tc>
          <w:tcPr>
            <w:tcW w:w="1276" w:type="dxa"/>
            <w:tcBorders>
              <w:left w:val="single" w:sz="6" w:space="0" w:color="000000"/>
            </w:tcBorders>
            <w:vAlign w:val="center"/>
          </w:tcPr>
          <w:p>
            <w:pPr>
              <w:pStyle w:val="27"/>
            </w:pPr>
            <w:r>
              <w:t>社会效益指标</w:t>
            </w:r>
          </w:p>
        </w:tc>
        <w:tc>
          <w:tcPr>
            <w:tcW w:w="1332" w:type="dxa"/>
            <w:tcBorders>
              <w:left w:val="single" w:sz="6" w:space="0" w:color="000000"/>
            </w:tcBorders>
            <w:vAlign w:val="center"/>
          </w:tcPr>
          <w:p>
            <w:pPr>
              <w:pStyle w:val="27"/>
            </w:pPr>
            <w:r>
              <w:t>有效应对各类突发事故</w:t>
            </w:r>
          </w:p>
        </w:tc>
        <w:tc>
          <w:tcPr>
            <w:tcW w:w="2891" w:type="dxa"/>
            <w:tcBorders>
              <w:left w:val="single" w:sz="6" w:space="0" w:color="000000"/>
            </w:tcBorders>
            <w:vAlign w:val="center"/>
          </w:tcPr>
          <w:p>
            <w:pPr>
              <w:pStyle w:val="27"/>
            </w:pPr>
            <w:r>
              <w:t>是否对有效应对各类突发事故可以起到相应作用</w:t>
            </w:r>
          </w:p>
        </w:tc>
        <w:tc>
          <w:tcPr>
            <w:tcW w:w="1276" w:type="dxa"/>
            <w:tcBorders>
              <w:left w:val="single" w:sz="6" w:space="0" w:color="000000"/>
            </w:tcBorders>
            <w:vAlign w:val="center"/>
          </w:tcPr>
          <w:p>
            <w:pPr>
              <w:pStyle w:val="27"/>
            </w:pPr>
            <w:r>
              <w:t>100%</w:t>
            </w:r>
          </w:p>
        </w:tc>
        <w:tc>
          <w:tcPr>
            <w:tcW w:w="1843"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280" w:lineRule="exact"/>
              <w:textAlignment w:val="auto"/>
            </w:pPr>
            <w:r>
              <w:t>危险化学品重大危险源监督管理暂行规定（国家安监总局令第79号）</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pPr>
            <w:r>
              <w:t>服务对象满意度指标</w:t>
            </w:r>
          </w:p>
        </w:tc>
        <w:tc>
          <w:tcPr>
            <w:tcW w:w="1332" w:type="dxa"/>
            <w:tcBorders>
              <w:left w:val="single" w:sz="6" w:space="0" w:color="000000"/>
            </w:tcBorders>
            <w:vAlign w:val="center"/>
          </w:tcPr>
          <w:p>
            <w:pPr>
              <w:pStyle w:val="27"/>
            </w:pPr>
            <w:r>
              <w:t>使用人员满意度</w:t>
            </w:r>
          </w:p>
        </w:tc>
        <w:tc>
          <w:tcPr>
            <w:tcW w:w="2891" w:type="dxa"/>
            <w:tcBorders>
              <w:left w:val="single" w:sz="6" w:space="0" w:color="000000"/>
            </w:tcBorders>
            <w:vAlign w:val="center"/>
          </w:tcPr>
          <w:p>
            <w:pPr>
              <w:pStyle w:val="27"/>
            </w:pPr>
            <w:r>
              <w:t>反映使用人员的满意度情况</w:t>
            </w:r>
          </w:p>
        </w:tc>
        <w:tc>
          <w:tcPr>
            <w:tcW w:w="1276" w:type="dxa"/>
            <w:tcBorders>
              <w:left w:val="single" w:sz="6" w:space="0" w:color="000000"/>
            </w:tcBorders>
            <w:vAlign w:val="center"/>
          </w:tcPr>
          <w:p>
            <w:pPr>
              <w:pStyle w:val="27"/>
            </w:pPr>
            <w:r>
              <w:t>≥97％</w:t>
            </w:r>
          </w:p>
        </w:tc>
        <w:tc>
          <w:tcPr>
            <w:tcW w:w="1843"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280" w:lineRule="exact"/>
              <w:textAlignment w:val="auto"/>
            </w:pPr>
            <w:r>
              <w:t>危险化学品重大危险源监督管理暂行规定（国家安监总局令第79号）</w:t>
            </w:r>
          </w:p>
        </w:tc>
      </w:tr>
    </w:tbl>
    <w:p>
      <w:pPr>
        <w:sectPr>
          <w:pgSz w:w="11900" w:h="16840"/>
          <w:pgMar w:top="1984" w:right="1304" w:bottom="1134" w:left="1304" w:header="720" w:footer="720" w:gutter="0"/>
          <w:cols w:num="1" w:space="720"/>
          <w:docGrid w:linePitch="312" w:charSpace="0"/>
        </w:sectPr>
      </w:pPr>
    </w:p>
    <w:p>
      <w:pPr>
        <w:jc w:val="center"/>
      </w:pPr>
    </w:p>
    <w:p>
      <w:pPr>
        <w:ind w:firstLine="560"/>
        <w:outlineLvl w:val="3"/>
      </w:pPr>
      <w:bookmarkStart w:id="25" w:name="_Toc_4_4_0000000028"/>
      <w:r>
        <w:rPr>
          <w:rFonts w:ascii="方正仿宋_GBK" w:eastAsia="方正仿宋_GBK" w:cs="方正仿宋_GBK" w:hAnsi="方正仿宋_GBK"/>
          <w:color w:val="000000"/>
          <w:sz w:val="28"/>
        </w:rPr>
        <w:t>25.自然灾害生活救助资金绩效目标表</w:t>
      </w:r>
      <w:bookmarkEnd w:id="25"/>
    </w:p>
    <w:tbl>
      <w:tblPr>
        <w:jc w:val="center"/>
        <w:tblBorders>
          <w:top w:val="single" w:sz="6" w:space="0" w:color="000000"/>
          <w:left w:val="single" w:sz="6" w:space="0" w:color="000000"/>
          <w:bottom w:val="single" w:sz="6" w:space="0" w:color="FFFFFF"/>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1587"/>
        <w:gridCol w:w="1304"/>
        <w:gridCol w:w="1276"/>
        <w:gridCol w:w="1843"/>
      </w:tblGrid>
      <w:tr>
        <w:trPr>
          <w:trHeight w:val="397"/>
        </w:trPr>
        <w:tc>
          <w:tcPr>
            <w:tcW w:w="8050" w:type="dxa"/>
            <w:gridSpan w:val="6"/>
            <w:tcBorders>
              <w:top w:val="single" w:sz="6" w:space="0" w:color="FFFFFF"/>
              <w:left w:val="single" w:sz="6" w:space="0" w:color="FFFFFF"/>
              <w:right w:val="single" w:sz="6" w:space="0" w:color="FFFFFF"/>
            </w:tcBorders>
            <w:vAlign w:val="center"/>
          </w:tcPr>
          <w:p>
            <w:pPr>
              <w:pStyle w:val="24"/>
            </w:pPr>
            <w:r>
              <w:t>426001永清县应急管理局本级</w:t>
            </w:r>
          </w:p>
        </w:tc>
        <w:tc>
          <w:tcPr>
            <w:tcW w:w="1843" w:type="dxa"/>
            <w:tcBorders>
              <w:top w:val="single" w:sz="6" w:space="0" w:color="FFFFFF"/>
              <w:left w:val="single" w:sz="6" w:space="0" w:color="FFFFFF"/>
              <w:right w:val="single" w:sz="6" w:space="0" w:color="FFFFFF"/>
            </w:tcBorders>
            <w:vAlign w:val="center"/>
          </w:tcPr>
          <w:p>
            <w:pPr>
              <w:pStyle w:val="25"/>
            </w:pPr>
            <w:r>
              <w:t>单位：元</w:t>
            </w:r>
          </w:p>
        </w:tc>
      </w:tr>
      <w:tr>
        <w:trPr>
          <w:trHeight w:val="369"/>
        </w:trPr>
        <w:tc>
          <w:tcPr>
            <w:tcW w:w="1276" w:type="dxa"/>
            <w:vAlign w:val="center"/>
          </w:tcPr>
          <w:p>
            <w:pPr>
              <w:pStyle w:val="26"/>
            </w:pPr>
            <w:r>
              <w:t>项目编码</w:t>
            </w:r>
          </w:p>
        </w:tc>
        <w:tc>
          <w:tcPr>
            <w:tcW w:w="2608" w:type="dxa"/>
            <w:gridSpan w:val="2"/>
            <w:tcBorders>
              <w:left w:val="single" w:sz="6" w:space="0" w:color="000000"/>
            </w:tcBorders>
            <w:vAlign w:val="center"/>
          </w:tcPr>
          <w:p>
            <w:pPr>
              <w:pStyle w:val="27"/>
            </w:pPr>
            <w:r>
              <w:t>13102322P00627710001J</w:t>
            </w:r>
          </w:p>
        </w:tc>
        <w:tc>
          <w:tcPr>
            <w:tcW w:w="1587" w:type="dxa"/>
            <w:tcBorders>
              <w:left w:val="single" w:sz="6" w:space="0" w:color="000000"/>
            </w:tcBorders>
            <w:vAlign w:val="center"/>
          </w:tcPr>
          <w:p>
            <w:pPr>
              <w:pStyle w:val="26"/>
            </w:pPr>
            <w:r>
              <w:t>项目名称</w:t>
            </w:r>
          </w:p>
        </w:tc>
        <w:tc>
          <w:tcPr>
            <w:tcW w:w="4422" w:type="dxa"/>
            <w:gridSpan w:val="3"/>
            <w:tcBorders>
              <w:left w:val="single" w:sz="6" w:space="0" w:color="000000"/>
            </w:tcBorders>
            <w:vAlign w:val="center"/>
          </w:tcPr>
          <w:p>
            <w:pPr>
              <w:pStyle w:val="27"/>
            </w:pPr>
            <w:r>
              <w:t>自然灾害生活救助资金</w:t>
            </w:r>
          </w:p>
        </w:tc>
      </w:tr>
      <w:tr>
        <w:trPr>
          <w:trHeight w:val="369"/>
        </w:trPr>
        <w:tc>
          <w:tcPr>
            <w:tcW w:w="1276" w:type="dxa"/>
            <w:vMerge w:val="restart"/>
            <w:vAlign w:val="center"/>
          </w:tcPr>
          <w:p>
            <w:pPr>
              <w:pStyle w:val="26"/>
            </w:pPr>
            <w:r>
              <w:t>预算规模及资金用途</w:t>
            </w:r>
          </w:p>
        </w:tc>
        <w:tc>
          <w:tcPr>
            <w:tcW w:w="1276" w:type="dxa"/>
            <w:tcBorders>
              <w:left w:val="single" w:sz="6" w:space="0" w:color="000000"/>
            </w:tcBorders>
            <w:vAlign w:val="center"/>
          </w:tcPr>
          <w:p>
            <w:pPr>
              <w:pStyle w:val="26"/>
            </w:pPr>
            <w:r>
              <w:t>预算数</w:t>
            </w:r>
          </w:p>
        </w:tc>
        <w:tc>
          <w:tcPr>
            <w:tcW w:w="1332" w:type="dxa"/>
            <w:tcBorders>
              <w:left w:val="single" w:sz="6" w:space="0" w:color="000000"/>
            </w:tcBorders>
            <w:vAlign w:val="center"/>
          </w:tcPr>
          <w:p>
            <w:pPr>
              <w:pStyle w:val="27"/>
            </w:pPr>
            <w:r>
              <w:t>50000.00</w:t>
            </w:r>
          </w:p>
        </w:tc>
        <w:tc>
          <w:tcPr>
            <w:tcW w:w="1587" w:type="dxa"/>
            <w:tcBorders>
              <w:left w:val="single" w:sz="6" w:space="0" w:color="000000"/>
            </w:tcBorders>
            <w:vAlign w:val="center"/>
          </w:tcPr>
          <w:p>
            <w:pPr>
              <w:pStyle w:val="26"/>
            </w:pPr>
            <w:r>
              <w:t>其中：财政    资金</w:t>
            </w:r>
          </w:p>
        </w:tc>
        <w:tc>
          <w:tcPr>
            <w:tcW w:w="1304" w:type="dxa"/>
            <w:tcBorders>
              <w:left w:val="single" w:sz="6" w:space="0" w:color="000000"/>
            </w:tcBorders>
            <w:vAlign w:val="center"/>
          </w:tcPr>
          <w:p>
            <w:pPr>
              <w:pStyle w:val="27"/>
            </w:pPr>
            <w:r>
              <w:t>50000.00</w:t>
            </w:r>
          </w:p>
        </w:tc>
        <w:tc>
          <w:tcPr>
            <w:tcW w:w="1276" w:type="dxa"/>
            <w:tcBorders>
              <w:left w:val="single" w:sz="6" w:space="0" w:color="000000"/>
            </w:tcBorders>
            <w:vAlign w:val="center"/>
          </w:tcPr>
          <w:p>
            <w:pPr>
              <w:pStyle w:val="26"/>
            </w:pPr>
            <w:r>
              <w:t>其他资金</w:t>
            </w:r>
          </w:p>
        </w:tc>
        <w:tc>
          <w:tcPr>
            <w:tcW w:w="1843" w:type="dxa"/>
            <w:tcBorders>
              <w:left w:val="single" w:sz="6" w:space="0" w:color="000000"/>
            </w:tcBorders>
            <w:vAlign w:val="center"/>
          </w:tcPr>
          <w:p>
            <w:pPr>
              <w:pStyle w:val="27"/>
            </w:pPr>
          </w:p>
        </w:tc>
      </w:tr>
      <w:tr>
        <w:trPr>
          <w:trHeight w:val="369"/>
        </w:trPr>
        <w:tc>
          <w:tcPr>
            <w:tcW w:w="1276" w:type="dxa"/>
            <w:vMerge/>
          </w:tcPr>
          <w:p/>
        </w:tc>
        <w:tc>
          <w:tcPr>
            <w:tcW w:w="8617" w:type="dxa"/>
            <w:gridSpan w:val="6"/>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用于紧急抢救和转移安置受灾群众；用于向因灾死亡人员家属发放抚慰金；用于帮助“因灾房屋倒塌或严重损坏无房可住、无生活来源、无自救能力”的受灾群众；用于帮助因旱灾造成生活困难的群众解决口粮和饮水等基本生活困难；用于帮助受灾群众解决冬令春荒期间的口粮、衣被、取暖等基本生活困难。</w:t>
            </w:r>
          </w:p>
        </w:tc>
      </w:tr>
      <w:tr>
        <w:trPr>
          <w:trHeight w:val="369"/>
        </w:trPr>
        <w:tc>
          <w:tcPr>
            <w:tcW w:w="1276" w:type="dxa"/>
            <w:vMerge w:val="restart"/>
            <w:vAlign w:val="center"/>
          </w:tcPr>
          <w:p>
            <w:pPr>
              <w:pStyle w:val="26"/>
            </w:pPr>
            <w:r>
              <w:t>资金支出计划（%）</w:t>
            </w:r>
          </w:p>
        </w:tc>
        <w:tc>
          <w:tcPr>
            <w:tcW w:w="2608" w:type="dxa"/>
            <w:gridSpan w:val="2"/>
            <w:tcBorders>
              <w:left w:val="single" w:sz="6" w:space="0" w:color="000000"/>
            </w:tcBorders>
            <w:vAlign w:val="center"/>
          </w:tcPr>
          <w:p>
            <w:pPr>
              <w:pStyle w:val="26"/>
            </w:pPr>
            <w:r>
              <w:t>3月底</w:t>
            </w:r>
          </w:p>
        </w:tc>
        <w:tc>
          <w:tcPr>
            <w:tcW w:w="1587" w:type="dxa"/>
            <w:tcBorders>
              <w:left w:val="single" w:sz="6" w:space="0" w:color="000000"/>
            </w:tcBorders>
            <w:vAlign w:val="center"/>
          </w:tcPr>
          <w:p>
            <w:pPr>
              <w:pStyle w:val="26"/>
            </w:pPr>
            <w:r>
              <w:t>6月底</w:t>
            </w:r>
          </w:p>
        </w:tc>
        <w:tc>
          <w:tcPr>
            <w:tcW w:w="1304" w:type="dxa"/>
            <w:tcBorders>
              <w:left w:val="single" w:sz="6" w:space="0" w:color="000000"/>
            </w:tcBorders>
            <w:vAlign w:val="center"/>
          </w:tcPr>
          <w:p>
            <w:pPr>
              <w:pStyle w:val="26"/>
            </w:pPr>
            <w:r>
              <w:t>10月底</w:t>
            </w:r>
          </w:p>
        </w:tc>
        <w:tc>
          <w:tcPr>
            <w:tcW w:w="3118" w:type="dxa"/>
            <w:gridSpan w:val="2"/>
            <w:tcBorders>
              <w:left w:val="single" w:sz="6" w:space="0" w:color="000000"/>
            </w:tcBorders>
            <w:vAlign w:val="center"/>
          </w:tcPr>
          <w:p>
            <w:pPr>
              <w:pStyle w:val="26"/>
            </w:pPr>
            <w:r>
              <w:t>12月底</w:t>
            </w:r>
          </w:p>
        </w:tc>
      </w:tr>
      <w:tr>
        <w:trPr>
          <w:trHeight w:val="369"/>
        </w:trPr>
        <w:tc>
          <w:tcPr>
            <w:tcW w:w="1276" w:type="dxa"/>
            <w:vMerge/>
          </w:tcPr>
          <w:p/>
        </w:tc>
        <w:tc>
          <w:tcPr>
            <w:tcW w:w="2608" w:type="dxa"/>
            <w:gridSpan w:val="2"/>
            <w:tcBorders>
              <w:left w:val="single" w:sz="6" w:space="0" w:color="000000"/>
            </w:tcBorders>
            <w:vAlign w:val="center"/>
          </w:tcPr>
          <w:p>
            <w:pPr>
              <w:pStyle w:val="28"/>
            </w:pPr>
          </w:p>
        </w:tc>
        <w:tc>
          <w:tcPr>
            <w:tcW w:w="1587" w:type="dxa"/>
            <w:tcBorders>
              <w:left w:val="single" w:sz="6" w:space="0" w:color="000000"/>
            </w:tcBorders>
            <w:vAlign w:val="center"/>
          </w:tcPr>
          <w:p>
            <w:pPr>
              <w:pStyle w:val="28"/>
            </w:pPr>
          </w:p>
        </w:tc>
        <w:tc>
          <w:tcPr>
            <w:tcW w:w="1304" w:type="dxa"/>
            <w:tcBorders>
              <w:left w:val="single" w:sz="6" w:space="0" w:color="000000"/>
            </w:tcBorders>
            <w:vAlign w:val="center"/>
          </w:tcPr>
          <w:p>
            <w:pPr>
              <w:pStyle w:val="28"/>
            </w:pPr>
          </w:p>
        </w:tc>
        <w:tc>
          <w:tcPr>
            <w:tcW w:w="3118" w:type="dxa"/>
            <w:gridSpan w:val="2"/>
            <w:tcBorders>
              <w:left w:val="single" w:sz="6" w:space="0" w:color="000000"/>
            </w:tcBorders>
            <w:vAlign w:val="center"/>
          </w:tcPr>
          <w:p>
            <w:pPr>
              <w:pStyle w:val="28"/>
            </w:pPr>
            <w:r>
              <w:t>100%</w:t>
            </w:r>
          </w:p>
        </w:tc>
      </w:tr>
      <w:tr>
        <w:trPr>
          <w:trHeight w:val="369"/>
        </w:trPr>
        <w:tc>
          <w:tcPr>
            <w:tcW w:w="1276" w:type="dxa"/>
            <w:vAlign w:val="center"/>
          </w:tcPr>
          <w:p>
            <w:pPr>
              <w:pStyle w:val="26"/>
            </w:pPr>
            <w:r>
              <w:t>绩效目标</w:t>
            </w:r>
          </w:p>
        </w:tc>
        <w:tc>
          <w:tcPr>
            <w:tcW w:w="8617" w:type="dxa"/>
            <w:gridSpan w:val="6"/>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1.提高公民避灾自救能力和防灾减灾意识，提升全县重大自然灾害防御能力；组织民房恢复重建及灾民生活救助，保证受灾群众基本生活得到及时救助。保证款物安全及时有效，为重特大自然灾害救助提供有力支持。2022年需预算资金5万元。</w:t>
            </w:r>
          </w:p>
        </w:tc>
      </w:tr>
    </w:tbl>
    <w:p>
      <w:pPr>
        <w:spacing w:line="2" w:lineRule="exact"/>
        <w:jc w:val="center"/>
      </w:pPr>
    </w:p>
    <w:tbl>
      <w:tblPr>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276"/>
        <w:gridCol w:w="1276"/>
        <w:gridCol w:w="1332"/>
        <w:gridCol w:w="2891"/>
        <w:gridCol w:w="1276"/>
        <w:gridCol w:w="1843"/>
      </w:tblGrid>
      <w:tr>
        <w:trPr>
          <w:trHeight w:val="397"/>
          <w:tblHeader/>
        </w:trPr>
        <w:tc>
          <w:tcPr>
            <w:tcW w:w="1276" w:type="dxa"/>
            <w:vAlign w:val="center"/>
          </w:tcPr>
          <w:p>
            <w:pPr>
              <w:pStyle w:val="26"/>
            </w:pPr>
            <w:r>
              <w:t>一级指标</w:t>
            </w:r>
          </w:p>
        </w:tc>
        <w:tc>
          <w:tcPr>
            <w:tcW w:w="1276" w:type="dxa"/>
            <w:vAlign w:val="center"/>
          </w:tcPr>
          <w:p>
            <w:pPr>
              <w:pStyle w:val="26"/>
            </w:pPr>
            <w:r>
              <w:t>二级指标</w:t>
            </w:r>
          </w:p>
        </w:tc>
        <w:tc>
          <w:tcPr>
            <w:tcW w:w="1332" w:type="dxa"/>
            <w:vAlign w:val="center"/>
          </w:tcPr>
          <w:p>
            <w:pPr>
              <w:pStyle w:val="26"/>
            </w:pPr>
            <w:r>
              <w:t>三级指标</w:t>
            </w:r>
          </w:p>
        </w:tc>
        <w:tc>
          <w:tcPr>
            <w:tcW w:w="2891" w:type="dxa"/>
            <w:vAlign w:val="center"/>
          </w:tcPr>
          <w:p>
            <w:pPr>
              <w:pStyle w:val="26"/>
            </w:pPr>
            <w:r>
              <w:t>绩效指标描述</w:t>
            </w:r>
          </w:p>
        </w:tc>
        <w:tc>
          <w:tcPr>
            <w:tcW w:w="1276" w:type="dxa"/>
            <w:vAlign w:val="center"/>
          </w:tcPr>
          <w:p>
            <w:pPr>
              <w:pStyle w:val="26"/>
            </w:pPr>
            <w:r>
              <w:t>指标值</w:t>
            </w:r>
          </w:p>
        </w:tc>
        <w:tc>
          <w:tcPr>
            <w:tcW w:w="1843" w:type="dxa"/>
            <w:vAlign w:val="center"/>
          </w:tcPr>
          <w:p>
            <w:pPr>
              <w:pStyle w:val="26"/>
            </w:pPr>
            <w:r>
              <w:t>指标值确定依据</w:t>
            </w:r>
          </w:p>
        </w:tc>
      </w:tr>
      <w:tr>
        <w:trPr>
          <w:trHeight w:val="369"/>
        </w:trPr>
        <w:tc>
          <w:tcPr>
            <w:tcW w:w="1276" w:type="dxa"/>
            <w:vMerge w:val="restart"/>
            <w:vAlign w:val="center"/>
          </w:tcPr>
          <w:p>
            <w:pPr>
              <w:pStyle w:val="28"/>
            </w:pPr>
            <w:r>
              <w:t>产出指标</w:t>
            </w:r>
          </w:p>
        </w:tc>
        <w:tc>
          <w:tcPr>
            <w:tcW w:w="1276"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数量指标</w:t>
            </w:r>
          </w:p>
        </w:tc>
        <w:tc>
          <w:tcPr>
            <w:tcW w:w="1332"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保障覆盖率</w:t>
            </w:r>
          </w:p>
        </w:tc>
        <w:tc>
          <w:tcPr>
            <w:tcW w:w="2891"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反映对因自然灾害遭受损失的公众提供保障的情况，保障覆盖率=救助的人员数量/应救助的人员数量</w:t>
            </w:r>
          </w:p>
        </w:tc>
        <w:tc>
          <w:tcPr>
            <w:tcW w:w="1276"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100%</w:t>
            </w:r>
          </w:p>
        </w:tc>
        <w:tc>
          <w:tcPr>
            <w:tcW w:w="1843"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永清县自然灾害生活救助暂行办法</w:t>
            </w:r>
          </w:p>
        </w:tc>
      </w:tr>
      <w:tr>
        <w:trPr>
          <w:trHeight w:val="369"/>
        </w:trPr>
        <w:tc>
          <w:tcPr>
            <w:tcW w:w="1276" w:type="dxa"/>
            <w:vMerge/>
            <w:vAlign w:val="center"/>
          </w:tcPr>
          <w:p/>
        </w:tc>
        <w:tc>
          <w:tcPr>
            <w:tcW w:w="1276"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质量指标</w:t>
            </w:r>
          </w:p>
        </w:tc>
        <w:tc>
          <w:tcPr>
            <w:tcW w:w="1332"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资金使用程序的规范性</w:t>
            </w:r>
          </w:p>
        </w:tc>
        <w:tc>
          <w:tcPr>
            <w:tcW w:w="2891"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反映是否按规定程序使用资金</w:t>
            </w:r>
          </w:p>
        </w:tc>
        <w:tc>
          <w:tcPr>
            <w:tcW w:w="1276"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规范</w:t>
            </w:r>
          </w:p>
        </w:tc>
        <w:tc>
          <w:tcPr>
            <w:tcW w:w="1843"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永清县自然灾害生活救助暂行办法</w:t>
            </w:r>
          </w:p>
        </w:tc>
      </w:tr>
      <w:tr>
        <w:trPr>
          <w:trHeight w:val="369"/>
        </w:trPr>
        <w:tc>
          <w:tcPr>
            <w:tcW w:w="1276" w:type="dxa"/>
            <w:vMerge/>
            <w:vAlign w:val="center"/>
          </w:tcPr>
          <w:p/>
        </w:tc>
        <w:tc>
          <w:tcPr>
            <w:tcW w:w="1276"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时效指标</w:t>
            </w:r>
          </w:p>
        </w:tc>
        <w:tc>
          <w:tcPr>
            <w:tcW w:w="1332"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救助及时率</w:t>
            </w:r>
          </w:p>
        </w:tc>
        <w:tc>
          <w:tcPr>
            <w:tcW w:w="2891"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反映救助活动开展的及时性</w:t>
            </w:r>
          </w:p>
        </w:tc>
        <w:tc>
          <w:tcPr>
            <w:tcW w:w="1276"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100%</w:t>
            </w:r>
          </w:p>
        </w:tc>
        <w:tc>
          <w:tcPr>
            <w:tcW w:w="1843"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永清县自然灾害生活救助暂行办法</w:t>
            </w:r>
          </w:p>
        </w:tc>
      </w:tr>
      <w:tr>
        <w:trPr>
          <w:trHeight w:val="369"/>
        </w:trPr>
        <w:tc>
          <w:tcPr>
            <w:tcW w:w="1276" w:type="dxa"/>
            <w:vMerge/>
            <w:vAlign w:val="center"/>
          </w:tcPr>
          <w:p/>
        </w:tc>
        <w:tc>
          <w:tcPr>
            <w:tcW w:w="1276"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成本指标</w:t>
            </w:r>
          </w:p>
        </w:tc>
        <w:tc>
          <w:tcPr>
            <w:tcW w:w="1332"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成本控制率</w:t>
            </w:r>
          </w:p>
        </w:tc>
        <w:tc>
          <w:tcPr>
            <w:tcW w:w="2891"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反映项目的成本控制情况，成本控制率=实际成本/计划成本*100%</w:t>
            </w:r>
          </w:p>
        </w:tc>
        <w:tc>
          <w:tcPr>
            <w:tcW w:w="1276"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≤100%</w:t>
            </w:r>
          </w:p>
        </w:tc>
        <w:tc>
          <w:tcPr>
            <w:tcW w:w="1843"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资金计划</w:t>
            </w:r>
          </w:p>
        </w:tc>
      </w:tr>
      <w:tr>
        <w:trPr>
          <w:trHeight w:val="369"/>
        </w:trPr>
        <w:tc>
          <w:tcPr>
            <w:tcW w:w="1276" w:type="dxa"/>
            <w:vAlign w:val="center"/>
          </w:tcPr>
          <w:p>
            <w:pPr>
              <w:pStyle w:val="28"/>
            </w:pPr>
            <w:r>
              <w:t>效益指标</w:t>
            </w:r>
          </w:p>
        </w:tc>
        <w:tc>
          <w:tcPr>
            <w:tcW w:w="1276"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社会效益指标</w:t>
            </w:r>
          </w:p>
        </w:tc>
        <w:tc>
          <w:tcPr>
            <w:tcW w:w="1332"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保障受灾群众的基本生活</w:t>
            </w:r>
          </w:p>
        </w:tc>
        <w:tc>
          <w:tcPr>
            <w:tcW w:w="2891"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反映对受灾群众基本生活的保障作用</w:t>
            </w:r>
          </w:p>
        </w:tc>
        <w:tc>
          <w:tcPr>
            <w:tcW w:w="1276"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保障</w:t>
            </w:r>
          </w:p>
        </w:tc>
        <w:tc>
          <w:tcPr>
            <w:tcW w:w="1843"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永清县自然灾害生活救助暂行办法</w:t>
            </w:r>
          </w:p>
        </w:tc>
      </w:tr>
      <w:tr>
        <w:trPr>
          <w:trHeight w:val="369"/>
        </w:trPr>
        <w:tc>
          <w:tcPr>
            <w:tcW w:w="1276" w:type="dxa"/>
            <w:vAlign w:val="center"/>
          </w:tcPr>
          <w:p>
            <w:pPr>
              <w:pStyle w:val="28"/>
            </w:pPr>
            <w:r>
              <w:t>满意度指标</w:t>
            </w:r>
          </w:p>
        </w:tc>
        <w:tc>
          <w:tcPr>
            <w:tcW w:w="1276"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服务对象满意度指标</w:t>
            </w:r>
          </w:p>
        </w:tc>
        <w:tc>
          <w:tcPr>
            <w:tcW w:w="1332"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受益群众满意度</w:t>
            </w:r>
          </w:p>
        </w:tc>
        <w:tc>
          <w:tcPr>
            <w:tcW w:w="2891"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反映受益群众满意度情况</w:t>
            </w:r>
          </w:p>
        </w:tc>
        <w:tc>
          <w:tcPr>
            <w:tcW w:w="1276"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≥90%</w:t>
            </w:r>
          </w:p>
        </w:tc>
        <w:tc>
          <w:tcPr>
            <w:tcW w:w="1843" w:type="dxa"/>
            <w:tcBorders>
              <w:left w:val="single" w:sz="6" w:space="0" w:color="000000"/>
            </w:tcBorders>
            <w:vAlign w:val="center"/>
          </w:tcPr>
          <w:p>
            <w:pPr>
              <w:pStyle w:val="27"/>
              <w:keepNext w:val="0"/>
              <w:keepLines w:val="0"/>
              <w:pageBreakBefore w:val="0"/>
              <w:widowControl w:val="0"/>
              <w:kinsoku/>
              <w:wordWrap/>
              <w:overflowPunct/>
              <w:topLinePunct w:val="0"/>
              <w:autoSpaceDE/>
              <w:autoSpaceDN/>
              <w:bidi w:val="0"/>
              <w:adjustRightInd/>
              <w:snapToGrid/>
              <w:spacing w:line="300" w:lineRule="exact"/>
              <w:textAlignment w:val="auto"/>
            </w:pPr>
            <w:r>
              <w:t>调查问卷</w:t>
            </w:r>
          </w:p>
        </w:tc>
      </w:tr>
    </w:tbl>
    <w:p/>
    <w:p>
      <w:pPr>
        <w:autoSpaceDE w:val="0"/>
        <w:autoSpaceDN w:val="0"/>
        <w:adjustRightInd w:val="0"/>
        <w:spacing w:line="584" w:lineRule="exact"/>
        <w:ind w:firstLineChars="200" w:firstLine="640"/>
        <w:jc w:val="left"/>
        <w:rPr>
          <w:rFonts w:ascii="Times New Roman" w:eastAsia="黑体" w:cs="Times New Roman" w:hAnsi="Times New Roman"/>
          <w:sz w:val="32"/>
          <w:szCs w:val="32"/>
        </w:rPr>
        <w:sectPr>
          <w:pgSz w:w="11907" w:h="16839"/>
          <w:pgMar w:top="1020" w:right="1304" w:bottom="1020" w:left="1304" w:header="851" w:footer="992" w:gutter="0"/>
          <w:cols w:num="1" w:space="720"/>
          <w:docGrid w:type="lines" w:linePitch="312" w:charSpace="0"/>
        </w:sectPr>
      </w:pPr>
    </w:p>
    <w:p>
      <w:pPr>
        <w:autoSpaceDE w:val="0"/>
        <w:autoSpaceDN w:val="0"/>
        <w:adjustRightInd w:val="0"/>
        <w:spacing w:line="584" w:lineRule="exact"/>
        <w:ind w:firstLineChars="200" w:firstLine="640"/>
        <w:jc w:val="left"/>
        <w:rPr>
          <w:rFonts w:ascii="Times New Roman" w:eastAsia="黑体" w:cs="Times New Roman" w:hAnsi="Times New Roman"/>
          <w:sz w:val="32"/>
          <w:szCs w:val="32"/>
        </w:rPr>
      </w:pPr>
      <w:r>
        <w:rPr>
          <w:rFonts w:ascii="Times New Roman" w:eastAsia="黑体" w:cs="Times New Roman" w:hAnsi="Times New Roman"/>
          <w:sz w:val="32"/>
          <w:szCs w:val="32"/>
        </w:rPr>
        <w:t>六、政府采购预算情况</w:t>
      </w:r>
    </w:p>
    <w:p>
      <w:pPr>
        <w:spacing w:line="584" w:lineRule="exact"/>
        <w:ind w:firstLineChars="200" w:firstLine="640"/>
        <w:outlineLvl w:val="0"/>
        <w:rPr>
          <w:rFonts w:ascii="Times New Roman" w:eastAsia="仿宋_GB2312" w:cs="Times New Roman" w:hAnsi="Times New Roman"/>
          <w:sz w:val="32"/>
          <w:szCs w:val="24"/>
        </w:rPr>
      </w:pPr>
      <w:bookmarkStart w:id="26" w:name="_Toc471398468"/>
      <w:r>
        <w:rPr>
          <w:rFonts w:ascii="Times New Roman" w:eastAsia="仿宋_GB2312" w:cs="Times New Roman" w:hAnsi="Times New Roman"/>
          <w:sz w:val="32"/>
          <w:szCs w:val="24"/>
        </w:rPr>
        <w:t>20</w:t>
      </w:r>
      <w:r>
        <w:rPr>
          <w:rFonts w:ascii="Times New Roman" w:eastAsia="仿宋_GB2312" w:cs="Times New Roman" w:hAnsi="Times New Roman" w:hint="eastAsia"/>
          <w:sz w:val="32"/>
          <w:szCs w:val="24"/>
        </w:rPr>
        <w:t>2</w:t>
      </w:r>
      <w:r>
        <w:rPr>
          <w:rFonts w:ascii="Times New Roman" w:eastAsia="仿宋_GB2312" w:cs="Times New Roman" w:hAnsi="Times New Roman" w:hint="eastAsia"/>
          <w:sz w:val="32"/>
          <w:szCs w:val="24"/>
          <w:lang w:val="en-US" w:eastAsia="zh-CN"/>
        </w:rPr>
        <w:t>2</w:t>
      </w:r>
      <w:r>
        <w:rPr>
          <w:rFonts w:ascii="Times New Roman" w:eastAsia="仿宋_GB2312" w:cs="Times New Roman" w:hAnsi="Times New Roman"/>
          <w:sz w:val="32"/>
          <w:szCs w:val="24"/>
        </w:rPr>
        <w:t>年，我</w:t>
      </w:r>
      <w:r>
        <w:rPr>
          <w:rFonts w:ascii="Times New Roman" w:eastAsia="仿宋_GB2312" w:cs="Times New Roman" w:hAnsi="Times New Roman" w:hint="eastAsia"/>
          <w:sz w:val="32"/>
          <w:szCs w:val="24"/>
          <w:lang w:eastAsia="zh-CN"/>
        </w:rPr>
        <w:t>单位</w:t>
      </w:r>
      <w:r>
        <w:rPr>
          <w:rFonts w:ascii="Times New Roman" w:eastAsia="仿宋_GB2312" w:cs="Times New Roman" w:hAnsi="Times New Roman"/>
          <w:sz w:val="32"/>
          <w:szCs w:val="24"/>
        </w:rPr>
        <w:t>安排政府采购预算</w:t>
      </w:r>
      <w:r>
        <w:rPr>
          <w:rFonts w:ascii="Times New Roman" w:eastAsia="仿宋_GB2312" w:cs="Times New Roman" w:hAnsi="Times New Roman" w:hint="eastAsia"/>
          <w:color w:val="FF0000"/>
          <w:sz w:val="32"/>
          <w:szCs w:val="24"/>
        </w:rPr>
        <w:t>0</w:t>
      </w:r>
      <w:r>
        <w:rPr>
          <w:rFonts w:ascii="Times New Roman" w:eastAsia="仿宋_GB2312" w:cs="Times New Roman" w:hAnsi="Times New Roman"/>
          <w:sz w:val="32"/>
          <w:szCs w:val="24"/>
        </w:rPr>
        <w:t>万元。具体内容见下表。</w:t>
      </w:r>
    </w:p>
    <w:p>
      <w:pPr>
        <w:spacing w:line="584" w:lineRule="exact"/>
        <w:jc w:val="left"/>
        <w:outlineLvl w:val="0"/>
        <w:rPr>
          <w:rFonts w:ascii="Times New Roman" w:eastAsia="仿宋_GB2312" w:cs="Times New Roman" w:hAnsi="Times New Roman"/>
        </w:rPr>
      </w:pPr>
      <w:bookmarkEnd w:id="26"/>
    </w:p>
    <w:p>
      <w:pPr>
        <w:jc w:val="center"/>
        <w:outlineLvl w:val="1"/>
        <w:rPr>
          <w:rFonts w:ascii="Times New Roman" w:cs="Times New Roman" w:hAnsi="Times New Roman"/>
          <w:sz w:val="32"/>
        </w:rPr>
      </w:pPr>
      <w:bookmarkStart w:id="27" w:name="_Toc64920910"/>
      <w:r>
        <w:rPr>
          <w:rFonts w:ascii="方正小标宋_GBK" w:eastAsia="方正小标宋_GBK" w:cs="Times New Roman" w:hint="eastAsia"/>
          <w:sz w:val="32"/>
          <w:lang w:eastAsia="zh-CN"/>
        </w:rPr>
        <w:t>单位</w:t>
      </w:r>
      <w:r>
        <w:rPr>
          <w:rFonts w:ascii="方正小标宋_GBK" w:eastAsia="方正小标宋_GBK" w:cs="Times New Roman" w:hint="eastAsia"/>
          <w:sz w:val="32"/>
        </w:rPr>
        <w:t>政府采购预算</w:t>
      </w:r>
      <w:bookmarkEnd w:id="27"/>
    </w:p>
    <w:tbl>
      <w:tblPr>
        <w:jc w:val="center"/>
        <w:tblW w:w="1550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top w:w="0" w:type="dxa"/>
          <w:left w:w="108" w:type="dxa"/>
          <w:bottom w:w="0" w:type="dxa"/>
          <w:right w:w="108" w:type="dxa"/>
        </w:tblCellMar>
        <w:tblLook w:val="0600" w:firstRow="0" w:lastRow="0" w:firstColumn="0" w:lastColumn="0" w:noHBand="1" w:noVBand="1"/>
      </w:tblPr>
      <w:tblGrid>
        <w:gridCol w:w="1984"/>
        <w:gridCol w:w="1134"/>
        <w:gridCol w:w="1531"/>
        <w:gridCol w:w="1531"/>
        <w:gridCol w:w="709"/>
        <w:gridCol w:w="907"/>
        <w:gridCol w:w="907"/>
        <w:gridCol w:w="1134"/>
        <w:gridCol w:w="1134"/>
        <w:gridCol w:w="1134"/>
        <w:gridCol w:w="1134"/>
        <w:gridCol w:w="1134"/>
        <w:gridCol w:w="1134"/>
      </w:tblGrid>
      <w:tr>
        <w:trPr>
          <w:cantSplit/>
          <w:tblHeader/>
        </w:trPr>
        <w:tc>
          <w:tcPr>
            <w:tcW w:w="8703" w:type="dxa"/>
            <w:gridSpan w:val="7"/>
            <w:tcBorders>
              <w:top w:val="single" w:sz="6" w:space="0" w:color="FFFFFF"/>
              <w:left w:val="single" w:sz="6" w:space="0" w:color="FFFFFF"/>
              <w:right w:val="single" w:sz="6" w:space="0" w:color="FFFFFF"/>
            </w:tcBorders>
            <w:shd w:val="clear" w:color="auto" w:fill="auto"/>
            <w:vAlign w:val="center"/>
          </w:tcPr>
          <w:p>
            <w:pPr>
              <w:spacing w:line="300" w:lineRule="exact"/>
              <w:jc w:val="left"/>
              <w:rPr>
                <w:rFonts w:ascii="方正小标宋_GBK" w:eastAsia="方正小标宋_GBK" w:cs="Times New Roman"/>
                <w:sz w:val="24"/>
              </w:rPr>
            </w:pPr>
            <w:r>
              <w:rPr>
                <w:rFonts w:ascii="方正书宋_GBK" w:eastAsia="方正书宋_GBK" w:cs="Times New Roman"/>
                <w:sz w:val="24"/>
              </w:rPr>
              <w:t>永清县应急管理局</w:t>
            </w:r>
          </w:p>
        </w:tc>
        <w:tc>
          <w:tcPr>
            <w:tcW w:w="6804" w:type="dxa"/>
            <w:gridSpan w:val="6"/>
            <w:tcBorders>
              <w:top w:val="single" w:sz="6" w:space="0" w:color="FFFFFF"/>
              <w:left w:val="single" w:sz="6" w:space="0" w:color="FFFFFF"/>
              <w:right w:val="single" w:sz="6" w:space="0" w:color="FFFFFF"/>
            </w:tcBorders>
            <w:shd w:val="clear" w:color="auto" w:fill="auto"/>
            <w:vAlign w:val="center"/>
          </w:tcPr>
          <w:p>
            <w:pPr>
              <w:spacing w:line="300" w:lineRule="exact"/>
              <w:jc w:val="right"/>
              <w:rPr>
                <w:rFonts w:ascii="方正书宋_GBK" w:eastAsia="方正书宋_GBK" w:cs="Times New Roman"/>
                <w:sz w:val="24"/>
              </w:rPr>
            </w:pPr>
            <w:r>
              <w:rPr>
                <w:rFonts w:ascii="方正书宋_GBK" w:eastAsia="方正书宋_GBK" w:cs="Times New Roman"/>
                <w:sz w:val="24"/>
              </w:rPr>
              <w:t>单位：万元</w:t>
            </w:r>
          </w:p>
        </w:tc>
      </w:tr>
      <w:tr>
        <w:trPr>
          <w:cantSplit/>
          <w:tblHeader/>
        </w:trPr>
        <w:tc>
          <w:tcPr>
            <w:tcW w:w="3118" w:type="dxa"/>
            <w:gridSpan w:val="2"/>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政府采购项目来源</w:t>
            </w:r>
          </w:p>
        </w:tc>
        <w:tc>
          <w:tcPr>
            <w:tcW w:w="1531" w:type="dxa"/>
            <w:vMerge w:val="restart"/>
            <w:tcBorders>
              <w:left w:val="single" w:sz="6" w:space="0" w:color="000000"/>
            </w:tcBorders>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采购物品名称</w:t>
            </w:r>
          </w:p>
        </w:tc>
        <w:tc>
          <w:tcPr>
            <w:tcW w:w="1531" w:type="dxa"/>
            <w:vMerge w:val="restart"/>
            <w:tcBorders>
              <w:left w:val="single" w:sz="6" w:space="0" w:color="000000"/>
            </w:tcBorders>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政府采购目录序号</w:t>
            </w:r>
          </w:p>
        </w:tc>
        <w:tc>
          <w:tcPr>
            <w:tcW w:w="709" w:type="dxa"/>
            <w:vMerge w:val="restart"/>
            <w:tcBorders>
              <w:left w:val="single" w:sz="6" w:space="0" w:color="000000"/>
            </w:tcBorders>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计量  单位</w:t>
            </w:r>
          </w:p>
        </w:tc>
        <w:tc>
          <w:tcPr>
            <w:tcW w:w="907" w:type="dxa"/>
            <w:vMerge w:val="restart"/>
            <w:tcBorders>
              <w:left w:val="single" w:sz="6" w:space="0" w:color="000000"/>
            </w:tcBorders>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数量</w:t>
            </w:r>
          </w:p>
        </w:tc>
        <w:tc>
          <w:tcPr>
            <w:tcW w:w="907" w:type="dxa"/>
            <w:vMerge w:val="restart"/>
            <w:tcBorders>
              <w:left w:val="single" w:sz="6" w:space="0" w:color="000000"/>
            </w:tcBorders>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单价</w:t>
            </w:r>
          </w:p>
        </w:tc>
        <w:tc>
          <w:tcPr>
            <w:tcW w:w="6804" w:type="dxa"/>
            <w:gridSpan w:val="6"/>
            <w:tcBorders>
              <w:left w:val="single" w:sz="6" w:space="0" w:color="000000"/>
            </w:tcBorders>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政府采购金额（当年</w:t>
            </w:r>
            <w:r>
              <w:rPr>
                <w:rFonts w:ascii="方正书宋_GBK" w:eastAsia="方正书宋_GBK" w:cs="Times New Roman" w:hint="eastAsia"/>
                <w:b/>
                <w:lang w:eastAsia="zh-CN"/>
              </w:rPr>
              <w:t>单位</w:t>
            </w:r>
            <w:r>
              <w:rPr>
                <w:rFonts w:ascii="方正书宋_GBK" w:eastAsia="方正书宋_GBK" w:cs="Times New Roman"/>
                <w:b/>
              </w:rPr>
              <w:t>预算安排资金）</w:t>
            </w:r>
          </w:p>
        </w:tc>
      </w:tr>
      <w:tr>
        <w:trPr>
          <w:cantSplit/>
          <w:tblHeader/>
        </w:trPr>
        <w:tc>
          <w:tcPr>
            <w:tcW w:w="1984" w:type="dxa"/>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项目名称</w:t>
            </w:r>
          </w:p>
        </w:tc>
        <w:tc>
          <w:tcPr>
            <w:tcW w:w="1134" w:type="dxa"/>
            <w:tcBorders>
              <w:left w:val="single" w:sz="6" w:space="0" w:color="000000"/>
            </w:tcBorders>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预算资金</w:t>
            </w:r>
          </w:p>
        </w:tc>
        <w:tc>
          <w:tcPr>
            <w:tcW w:w="1531" w:type="dxa"/>
            <w:vMerge/>
            <w:tcBorders>
              <w:left w:val="single" w:sz="6" w:space="0" w:color="000000"/>
            </w:tcBorders>
            <w:shd w:val="clear" w:color="auto" w:fill="auto"/>
            <w:vAlign w:val="center"/>
          </w:tcPr>
          <w:p/>
        </w:tc>
        <w:tc>
          <w:tcPr>
            <w:tcW w:w="1531" w:type="dxa"/>
            <w:vMerge/>
            <w:tcBorders>
              <w:left w:val="single" w:sz="6" w:space="0" w:color="000000"/>
            </w:tcBorders>
            <w:shd w:val="clear" w:color="auto" w:fill="auto"/>
            <w:vAlign w:val="center"/>
          </w:tcPr>
          <w:p/>
        </w:tc>
        <w:tc>
          <w:tcPr>
            <w:tcW w:w="709" w:type="dxa"/>
            <w:vMerge/>
            <w:tcBorders>
              <w:left w:val="single" w:sz="6" w:space="0" w:color="000000"/>
            </w:tcBorders>
            <w:shd w:val="clear" w:color="auto" w:fill="auto"/>
            <w:vAlign w:val="center"/>
          </w:tcPr>
          <w:p/>
        </w:tc>
        <w:tc>
          <w:tcPr>
            <w:tcW w:w="907" w:type="dxa"/>
            <w:vMerge/>
            <w:tcBorders>
              <w:left w:val="single" w:sz="6" w:space="0" w:color="000000"/>
            </w:tcBorders>
            <w:shd w:val="clear" w:color="auto" w:fill="auto"/>
            <w:vAlign w:val="center"/>
          </w:tcPr>
          <w:p/>
        </w:tc>
        <w:tc>
          <w:tcPr>
            <w:tcW w:w="907" w:type="dxa"/>
            <w:vMerge/>
            <w:tcBorders>
              <w:left w:val="single" w:sz="6" w:space="0" w:color="000000"/>
            </w:tcBorders>
            <w:shd w:val="clear" w:color="auto" w:fill="auto"/>
            <w:vAlign w:val="center"/>
          </w:tcPr>
          <w:p/>
        </w:tc>
        <w:tc>
          <w:tcPr>
            <w:tcW w:w="1134" w:type="dxa"/>
            <w:tcBorders>
              <w:left w:val="single" w:sz="6" w:space="0" w:color="000000"/>
            </w:tcBorders>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合计</w:t>
            </w:r>
          </w:p>
        </w:tc>
        <w:tc>
          <w:tcPr>
            <w:tcW w:w="1134" w:type="dxa"/>
            <w:tcBorders>
              <w:left w:val="single" w:sz="6" w:space="0" w:color="000000"/>
            </w:tcBorders>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一般公共预算拨款</w:t>
            </w:r>
          </w:p>
        </w:tc>
        <w:tc>
          <w:tcPr>
            <w:tcW w:w="1134" w:type="dxa"/>
            <w:tcBorders>
              <w:left w:val="single" w:sz="6" w:space="0" w:color="000000"/>
            </w:tcBorders>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基金预算拨款</w:t>
            </w:r>
          </w:p>
        </w:tc>
        <w:tc>
          <w:tcPr>
            <w:tcW w:w="1134" w:type="dxa"/>
            <w:tcBorders>
              <w:left w:val="single" w:sz="6" w:space="0" w:color="000000"/>
            </w:tcBorders>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国有资本经营预算拨款</w:t>
            </w:r>
          </w:p>
        </w:tc>
        <w:tc>
          <w:tcPr>
            <w:tcW w:w="1134" w:type="dxa"/>
            <w:tcBorders>
              <w:left w:val="single" w:sz="6" w:space="0" w:color="000000"/>
            </w:tcBorders>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财政专户核拨</w:t>
            </w:r>
          </w:p>
        </w:tc>
        <w:tc>
          <w:tcPr>
            <w:tcW w:w="1134" w:type="dxa"/>
            <w:tcBorders>
              <w:left w:val="single" w:sz="6" w:space="0" w:color="000000"/>
            </w:tcBorders>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单位资金</w:t>
            </w:r>
          </w:p>
        </w:tc>
      </w:tr>
      <w:tr>
        <w:trPr>
          <w:cantSplit/>
        </w:trPr>
        <w:tc>
          <w:tcPr>
            <w:tcW w:w="1984" w:type="dxa"/>
            <w:shd w:val="clear" w:color="auto" w:fill="auto"/>
            <w:vAlign w:val="center"/>
          </w:tcPr>
          <w:p>
            <w:pPr>
              <w:spacing w:line="300" w:lineRule="exact"/>
              <w:jc w:val="center"/>
              <w:rPr>
                <w:rFonts w:ascii="方正书宋_GBK" w:eastAsia="方正书宋_GBK" w:cs="Times New Roman"/>
                <w:b/>
              </w:rPr>
            </w:pPr>
            <w:r>
              <w:rPr>
                <w:rFonts w:ascii="方正书宋_GBK" w:eastAsia="方正书宋_GBK" w:cs="Times New Roman"/>
                <w:b/>
              </w:rPr>
              <w:t>合  计</w:t>
            </w: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b/>
              </w:rPr>
            </w:pPr>
            <w:r>
              <w:rPr>
                <w:rFonts w:ascii="方正书宋_GBK" w:eastAsia="方正书宋_GBK" w:cs="Times New Roman" w:hint="eastAsia"/>
                <w:b/>
              </w:rPr>
              <w:t>0</w:t>
            </w:r>
          </w:p>
        </w:tc>
        <w:tc>
          <w:tcPr>
            <w:tcW w:w="1531" w:type="dxa"/>
            <w:tcBorders>
              <w:left w:val="single" w:sz="6" w:space="0" w:color="000000"/>
            </w:tcBorders>
            <w:shd w:val="clear" w:color="auto" w:fill="auto"/>
            <w:vAlign w:val="center"/>
          </w:tcPr>
          <w:p>
            <w:pPr>
              <w:spacing w:line="300" w:lineRule="exact"/>
              <w:jc w:val="left"/>
              <w:rPr>
                <w:rFonts w:ascii="方正书宋_GBK" w:eastAsia="方正书宋_GBK" w:cs="Times New Roman"/>
                <w:b/>
              </w:rPr>
            </w:pPr>
          </w:p>
        </w:tc>
        <w:tc>
          <w:tcPr>
            <w:tcW w:w="1531" w:type="dxa"/>
            <w:tcBorders>
              <w:left w:val="single" w:sz="6" w:space="0" w:color="000000"/>
            </w:tcBorders>
            <w:shd w:val="clear" w:color="auto" w:fill="auto"/>
            <w:vAlign w:val="center"/>
          </w:tcPr>
          <w:p>
            <w:pPr>
              <w:spacing w:line="300" w:lineRule="exact"/>
              <w:jc w:val="left"/>
              <w:rPr>
                <w:rFonts w:ascii="方正书宋_GBK" w:eastAsia="方正书宋_GBK" w:cs="Times New Roman"/>
                <w:b/>
              </w:rPr>
            </w:pPr>
          </w:p>
        </w:tc>
        <w:tc>
          <w:tcPr>
            <w:tcW w:w="709" w:type="dxa"/>
            <w:tcBorders>
              <w:left w:val="single" w:sz="6" w:space="0" w:color="000000"/>
            </w:tcBorders>
            <w:shd w:val="clear" w:color="auto" w:fill="auto"/>
            <w:vAlign w:val="center"/>
          </w:tcPr>
          <w:p>
            <w:pPr>
              <w:spacing w:line="300" w:lineRule="exact"/>
              <w:jc w:val="center"/>
              <w:rPr>
                <w:rFonts w:ascii="方正书宋_GBK" w:eastAsia="方正书宋_GBK" w:cs="Times New Roman"/>
                <w:b/>
              </w:rPr>
            </w:pPr>
          </w:p>
        </w:tc>
        <w:tc>
          <w:tcPr>
            <w:tcW w:w="907" w:type="dxa"/>
            <w:tcBorders>
              <w:left w:val="single" w:sz="6" w:space="0" w:color="000000"/>
            </w:tcBorders>
            <w:shd w:val="clear" w:color="auto" w:fill="auto"/>
            <w:vAlign w:val="center"/>
          </w:tcPr>
          <w:p>
            <w:pPr>
              <w:spacing w:line="300" w:lineRule="exact"/>
              <w:jc w:val="right"/>
              <w:rPr>
                <w:rFonts w:ascii="方正书宋_GBK" w:eastAsia="方正书宋_GBK" w:cs="Times New Roman"/>
                <w:b/>
              </w:rPr>
            </w:pPr>
          </w:p>
        </w:tc>
        <w:tc>
          <w:tcPr>
            <w:tcW w:w="907" w:type="dxa"/>
            <w:tcBorders>
              <w:left w:val="single" w:sz="6" w:space="0" w:color="000000"/>
            </w:tcBorders>
            <w:shd w:val="clear" w:color="auto" w:fill="auto"/>
            <w:vAlign w:val="center"/>
          </w:tcPr>
          <w:p>
            <w:pPr>
              <w:spacing w:line="300" w:lineRule="exact"/>
              <w:jc w:val="right"/>
              <w:rPr>
                <w:rFonts w:ascii="方正书宋_GBK" w:eastAsia="方正书宋_GBK" w:cs="Times New Roman"/>
                <w:b/>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b/>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b/>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b/>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b/>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b/>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b/>
              </w:rPr>
            </w:pPr>
          </w:p>
        </w:tc>
      </w:tr>
      <w:tr>
        <w:trPr>
          <w:cantSplit/>
        </w:trPr>
        <w:tc>
          <w:tcPr>
            <w:tcW w:w="1984" w:type="dxa"/>
            <w:shd w:val="clear" w:color="auto" w:fill="auto"/>
            <w:vAlign w:val="center"/>
          </w:tcPr>
          <w:p>
            <w:pPr>
              <w:spacing w:line="300" w:lineRule="exact"/>
              <w:jc w:val="center"/>
              <w:rPr>
                <w:rFonts w:ascii="方正书宋_GBK" w:eastAsia="方正书宋_GBK" w:cs="Times New Roman"/>
                <w:b/>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b/>
              </w:rPr>
            </w:pPr>
          </w:p>
        </w:tc>
        <w:tc>
          <w:tcPr>
            <w:tcW w:w="1531" w:type="dxa"/>
            <w:tcBorders>
              <w:left w:val="single" w:sz="6" w:space="0" w:color="000000"/>
            </w:tcBorders>
            <w:shd w:val="clear" w:color="auto" w:fill="auto"/>
            <w:vAlign w:val="center"/>
          </w:tcPr>
          <w:p>
            <w:pPr>
              <w:spacing w:line="300" w:lineRule="exact"/>
              <w:jc w:val="left"/>
              <w:rPr>
                <w:rFonts w:ascii="方正书宋_GBK" w:eastAsia="方正书宋_GBK" w:cs="Times New Roman"/>
                <w:b/>
              </w:rPr>
            </w:pPr>
          </w:p>
        </w:tc>
        <w:tc>
          <w:tcPr>
            <w:tcW w:w="1531" w:type="dxa"/>
            <w:tcBorders>
              <w:left w:val="single" w:sz="6" w:space="0" w:color="000000"/>
            </w:tcBorders>
            <w:shd w:val="clear" w:color="auto" w:fill="auto"/>
            <w:vAlign w:val="center"/>
          </w:tcPr>
          <w:p>
            <w:pPr>
              <w:spacing w:line="300" w:lineRule="exact"/>
              <w:jc w:val="left"/>
              <w:rPr>
                <w:rFonts w:ascii="方正书宋_GBK" w:eastAsia="方正书宋_GBK" w:cs="Times New Roman"/>
                <w:b/>
              </w:rPr>
            </w:pPr>
          </w:p>
        </w:tc>
        <w:tc>
          <w:tcPr>
            <w:tcW w:w="709" w:type="dxa"/>
            <w:tcBorders>
              <w:left w:val="single" w:sz="6" w:space="0" w:color="000000"/>
            </w:tcBorders>
            <w:shd w:val="clear" w:color="auto" w:fill="auto"/>
            <w:vAlign w:val="center"/>
          </w:tcPr>
          <w:p>
            <w:pPr>
              <w:spacing w:line="300" w:lineRule="exact"/>
              <w:jc w:val="center"/>
              <w:rPr>
                <w:rFonts w:ascii="方正书宋_GBK" w:eastAsia="方正书宋_GBK" w:cs="Times New Roman"/>
                <w:b/>
              </w:rPr>
            </w:pPr>
          </w:p>
        </w:tc>
        <w:tc>
          <w:tcPr>
            <w:tcW w:w="907" w:type="dxa"/>
            <w:tcBorders>
              <w:left w:val="single" w:sz="6" w:space="0" w:color="000000"/>
            </w:tcBorders>
            <w:shd w:val="clear" w:color="auto" w:fill="auto"/>
            <w:vAlign w:val="center"/>
          </w:tcPr>
          <w:p>
            <w:pPr>
              <w:spacing w:line="300" w:lineRule="exact"/>
              <w:jc w:val="right"/>
              <w:rPr>
                <w:rFonts w:ascii="方正书宋_GBK" w:eastAsia="方正书宋_GBK" w:cs="Times New Roman"/>
                <w:b/>
              </w:rPr>
            </w:pPr>
          </w:p>
        </w:tc>
        <w:tc>
          <w:tcPr>
            <w:tcW w:w="907" w:type="dxa"/>
            <w:tcBorders>
              <w:left w:val="single" w:sz="6" w:space="0" w:color="000000"/>
            </w:tcBorders>
            <w:shd w:val="clear" w:color="auto" w:fill="auto"/>
            <w:vAlign w:val="center"/>
          </w:tcPr>
          <w:p>
            <w:pPr>
              <w:spacing w:line="300" w:lineRule="exact"/>
              <w:jc w:val="right"/>
              <w:rPr>
                <w:rFonts w:ascii="方正书宋_GBK" w:eastAsia="方正书宋_GBK" w:cs="Times New Roman"/>
                <w:b/>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b/>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b/>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b/>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b/>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b/>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b/>
              </w:rPr>
            </w:pPr>
          </w:p>
        </w:tc>
      </w:tr>
      <w:tr>
        <w:trPr>
          <w:cantSplit/>
        </w:trPr>
        <w:tc>
          <w:tcPr>
            <w:tcW w:w="1984" w:type="dxa"/>
            <w:shd w:val="clear" w:color="auto" w:fill="auto"/>
            <w:vAlign w:val="center"/>
          </w:tcPr>
          <w:p>
            <w:pPr>
              <w:spacing w:line="300" w:lineRule="exact"/>
              <w:jc w:val="lef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531" w:type="dxa"/>
            <w:tcBorders>
              <w:left w:val="single" w:sz="6" w:space="0" w:color="000000"/>
            </w:tcBorders>
            <w:shd w:val="clear" w:color="auto" w:fill="auto"/>
            <w:vAlign w:val="center"/>
          </w:tcPr>
          <w:p>
            <w:pPr>
              <w:spacing w:line="300" w:lineRule="exact"/>
              <w:jc w:val="left"/>
              <w:rPr>
                <w:rFonts w:ascii="方正书宋_GBK" w:eastAsia="方正书宋_GBK" w:cs="Times New Roman"/>
              </w:rPr>
            </w:pPr>
          </w:p>
        </w:tc>
        <w:tc>
          <w:tcPr>
            <w:tcW w:w="1531" w:type="dxa"/>
            <w:tcBorders>
              <w:left w:val="single" w:sz="6" w:space="0" w:color="000000"/>
            </w:tcBorders>
            <w:shd w:val="clear" w:color="auto" w:fill="auto"/>
            <w:vAlign w:val="center"/>
          </w:tcPr>
          <w:p>
            <w:pPr>
              <w:spacing w:line="300" w:lineRule="exact"/>
              <w:jc w:val="left"/>
              <w:rPr>
                <w:rFonts w:ascii="方正书宋_GBK" w:eastAsia="方正书宋_GBK" w:cs="Times New Roman"/>
              </w:rPr>
            </w:pPr>
          </w:p>
        </w:tc>
        <w:tc>
          <w:tcPr>
            <w:tcW w:w="709" w:type="dxa"/>
            <w:tcBorders>
              <w:left w:val="single" w:sz="6" w:space="0" w:color="000000"/>
            </w:tcBorders>
            <w:shd w:val="clear" w:color="auto" w:fill="auto"/>
            <w:vAlign w:val="center"/>
          </w:tcPr>
          <w:p>
            <w:pPr>
              <w:spacing w:line="300" w:lineRule="exact"/>
              <w:jc w:val="center"/>
              <w:rPr>
                <w:rFonts w:ascii="方正书宋_GBK" w:eastAsia="方正书宋_GBK" w:cs="Times New Roman"/>
              </w:rPr>
            </w:pPr>
          </w:p>
        </w:tc>
        <w:tc>
          <w:tcPr>
            <w:tcW w:w="907"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907"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r>
      <w:tr>
        <w:trPr>
          <w:cantSplit/>
        </w:trPr>
        <w:tc>
          <w:tcPr>
            <w:tcW w:w="1984" w:type="dxa"/>
            <w:shd w:val="clear" w:color="auto" w:fill="auto"/>
            <w:vAlign w:val="center"/>
          </w:tcPr>
          <w:p>
            <w:pPr>
              <w:spacing w:line="300" w:lineRule="exact"/>
              <w:jc w:val="lef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531" w:type="dxa"/>
            <w:tcBorders>
              <w:left w:val="single" w:sz="6" w:space="0" w:color="000000"/>
            </w:tcBorders>
            <w:shd w:val="clear" w:color="auto" w:fill="auto"/>
            <w:vAlign w:val="center"/>
          </w:tcPr>
          <w:p>
            <w:pPr>
              <w:spacing w:line="300" w:lineRule="exact"/>
              <w:jc w:val="left"/>
              <w:rPr>
                <w:rFonts w:ascii="方正书宋_GBK" w:eastAsia="方正书宋_GBK" w:cs="Times New Roman"/>
              </w:rPr>
            </w:pPr>
          </w:p>
        </w:tc>
        <w:tc>
          <w:tcPr>
            <w:tcW w:w="1531" w:type="dxa"/>
            <w:tcBorders>
              <w:left w:val="single" w:sz="6" w:space="0" w:color="000000"/>
            </w:tcBorders>
            <w:shd w:val="clear" w:color="auto" w:fill="auto"/>
            <w:vAlign w:val="center"/>
          </w:tcPr>
          <w:p>
            <w:pPr>
              <w:spacing w:line="300" w:lineRule="exact"/>
              <w:jc w:val="left"/>
              <w:rPr>
                <w:rFonts w:ascii="方正书宋_GBK" w:eastAsia="方正书宋_GBK" w:cs="Times New Roman"/>
              </w:rPr>
            </w:pPr>
          </w:p>
        </w:tc>
        <w:tc>
          <w:tcPr>
            <w:tcW w:w="709" w:type="dxa"/>
            <w:tcBorders>
              <w:left w:val="single" w:sz="6" w:space="0" w:color="000000"/>
            </w:tcBorders>
            <w:shd w:val="clear" w:color="auto" w:fill="auto"/>
            <w:vAlign w:val="center"/>
          </w:tcPr>
          <w:p>
            <w:pPr>
              <w:spacing w:line="300" w:lineRule="exact"/>
              <w:jc w:val="center"/>
              <w:rPr>
                <w:rFonts w:ascii="方正书宋_GBK" w:eastAsia="方正书宋_GBK" w:cs="Times New Roman"/>
              </w:rPr>
            </w:pPr>
          </w:p>
        </w:tc>
        <w:tc>
          <w:tcPr>
            <w:tcW w:w="907"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907"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r>
      <w:tr>
        <w:trPr>
          <w:cantSplit/>
        </w:trPr>
        <w:tc>
          <w:tcPr>
            <w:tcW w:w="1984" w:type="dxa"/>
            <w:shd w:val="clear" w:color="auto" w:fill="auto"/>
            <w:vAlign w:val="center"/>
          </w:tcPr>
          <w:p>
            <w:pPr>
              <w:spacing w:line="300" w:lineRule="exact"/>
              <w:jc w:val="lef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531" w:type="dxa"/>
            <w:tcBorders>
              <w:left w:val="single" w:sz="6" w:space="0" w:color="000000"/>
            </w:tcBorders>
            <w:shd w:val="clear" w:color="auto" w:fill="auto"/>
            <w:vAlign w:val="center"/>
          </w:tcPr>
          <w:p>
            <w:pPr>
              <w:spacing w:line="300" w:lineRule="exact"/>
              <w:jc w:val="left"/>
              <w:rPr>
                <w:rFonts w:ascii="方正书宋_GBK" w:eastAsia="方正书宋_GBK" w:cs="Times New Roman"/>
              </w:rPr>
            </w:pPr>
          </w:p>
        </w:tc>
        <w:tc>
          <w:tcPr>
            <w:tcW w:w="1531" w:type="dxa"/>
            <w:tcBorders>
              <w:left w:val="single" w:sz="6" w:space="0" w:color="000000"/>
            </w:tcBorders>
            <w:shd w:val="clear" w:color="auto" w:fill="auto"/>
            <w:vAlign w:val="center"/>
          </w:tcPr>
          <w:p>
            <w:pPr>
              <w:spacing w:line="300" w:lineRule="exact"/>
              <w:jc w:val="left"/>
              <w:rPr>
                <w:rFonts w:ascii="方正书宋_GBK" w:eastAsia="方正书宋_GBK" w:cs="Times New Roman"/>
              </w:rPr>
            </w:pPr>
          </w:p>
        </w:tc>
        <w:tc>
          <w:tcPr>
            <w:tcW w:w="709" w:type="dxa"/>
            <w:tcBorders>
              <w:left w:val="single" w:sz="6" w:space="0" w:color="000000"/>
            </w:tcBorders>
            <w:shd w:val="clear" w:color="auto" w:fill="auto"/>
            <w:vAlign w:val="center"/>
          </w:tcPr>
          <w:p>
            <w:pPr>
              <w:spacing w:line="300" w:lineRule="exact"/>
              <w:jc w:val="center"/>
              <w:rPr>
                <w:rFonts w:ascii="方正书宋_GBK" w:eastAsia="方正书宋_GBK" w:cs="Times New Roman"/>
              </w:rPr>
            </w:pPr>
          </w:p>
        </w:tc>
        <w:tc>
          <w:tcPr>
            <w:tcW w:w="907"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907"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r>
      <w:tr>
        <w:trPr>
          <w:cantSplit/>
        </w:trPr>
        <w:tc>
          <w:tcPr>
            <w:tcW w:w="1984" w:type="dxa"/>
            <w:shd w:val="clear" w:color="auto" w:fill="auto"/>
            <w:vAlign w:val="center"/>
          </w:tcPr>
          <w:p>
            <w:pPr>
              <w:spacing w:line="300" w:lineRule="exact"/>
              <w:jc w:val="lef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531" w:type="dxa"/>
            <w:tcBorders>
              <w:left w:val="single" w:sz="6" w:space="0" w:color="000000"/>
            </w:tcBorders>
            <w:shd w:val="clear" w:color="auto" w:fill="auto"/>
            <w:vAlign w:val="center"/>
          </w:tcPr>
          <w:p>
            <w:pPr>
              <w:spacing w:line="300" w:lineRule="exact"/>
              <w:jc w:val="left"/>
              <w:rPr>
                <w:rFonts w:ascii="方正书宋_GBK" w:eastAsia="方正书宋_GBK" w:cs="Times New Roman"/>
              </w:rPr>
            </w:pPr>
          </w:p>
        </w:tc>
        <w:tc>
          <w:tcPr>
            <w:tcW w:w="1531" w:type="dxa"/>
            <w:tcBorders>
              <w:left w:val="single" w:sz="6" w:space="0" w:color="000000"/>
            </w:tcBorders>
            <w:shd w:val="clear" w:color="auto" w:fill="auto"/>
            <w:vAlign w:val="center"/>
          </w:tcPr>
          <w:p>
            <w:pPr>
              <w:spacing w:line="300" w:lineRule="exact"/>
              <w:jc w:val="left"/>
              <w:rPr>
                <w:rFonts w:ascii="方正书宋_GBK" w:eastAsia="方正书宋_GBK" w:cs="Times New Roman"/>
              </w:rPr>
            </w:pPr>
          </w:p>
        </w:tc>
        <w:tc>
          <w:tcPr>
            <w:tcW w:w="709" w:type="dxa"/>
            <w:tcBorders>
              <w:left w:val="single" w:sz="6" w:space="0" w:color="000000"/>
            </w:tcBorders>
            <w:shd w:val="clear" w:color="auto" w:fill="auto"/>
            <w:vAlign w:val="center"/>
          </w:tcPr>
          <w:p>
            <w:pPr>
              <w:spacing w:line="300" w:lineRule="exact"/>
              <w:jc w:val="center"/>
              <w:rPr>
                <w:rFonts w:ascii="方正书宋_GBK" w:eastAsia="方正书宋_GBK" w:cs="Times New Roman"/>
              </w:rPr>
            </w:pPr>
          </w:p>
        </w:tc>
        <w:tc>
          <w:tcPr>
            <w:tcW w:w="907"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907"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r>
      <w:tr>
        <w:trPr>
          <w:cantSplit/>
        </w:trPr>
        <w:tc>
          <w:tcPr>
            <w:tcW w:w="1984" w:type="dxa"/>
            <w:shd w:val="clear" w:color="auto" w:fill="auto"/>
            <w:vAlign w:val="center"/>
          </w:tcPr>
          <w:p>
            <w:pPr>
              <w:spacing w:line="300" w:lineRule="exact"/>
              <w:jc w:val="lef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531" w:type="dxa"/>
            <w:tcBorders>
              <w:left w:val="single" w:sz="6" w:space="0" w:color="000000"/>
            </w:tcBorders>
            <w:shd w:val="clear" w:color="auto" w:fill="auto"/>
            <w:vAlign w:val="center"/>
          </w:tcPr>
          <w:p>
            <w:pPr>
              <w:spacing w:line="300" w:lineRule="exact"/>
              <w:jc w:val="left"/>
              <w:rPr>
                <w:rFonts w:ascii="方正书宋_GBK" w:eastAsia="方正书宋_GBK" w:cs="Times New Roman"/>
              </w:rPr>
            </w:pPr>
          </w:p>
        </w:tc>
        <w:tc>
          <w:tcPr>
            <w:tcW w:w="1531" w:type="dxa"/>
            <w:tcBorders>
              <w:left w:val="single" w:sz="6" w:space="0" w:color="000000"/>
            </w:tcBorders>
            <w:shd w:val="clear" w:color="auto" w:fill="auto"/>
            <w:vAlign w:val="center"/>
          </w:tcPr>
          <w:p>
            <w:pPr>
              <w:spacing w:line="300" w:lineRule="exact"/>
              <w:jc w:val="left"/>
              <w:rPr>
                <w:rFonts w:ascii="方正书宋_GBK" w:eastAsia="方正书宋_GBK" w:cs="Times New Roman"/>
              </w:rPr>
            </w:pPr>
          </w:p>
        </w:tc>
        <w:tc>
          <w:tcPr>
            <w:tcW w:w="709" w:type="dxa"/>
            <w:tcBorders>
              <w:left w:val="single" w:sz="6" w:space="0" w:color="000000"/>
            </w:tcBorders>
            <w:shd w:val="clear" w:color="auto" w:fill="auto"/>
            <w:vAlign w:val="center"/>
          </w:tcPr>
          <w:p>
            <w:pPr>
              <w:spacing w:line="300" w:lineRule="exact"/>
              <w:jc w:val="center"/>
              <w:rPr>
                <w:rFonts w:ascii="方正书宋_GBK" w:eastAsia="方正书宋_GBK" w:cs="Times New Roman"/>
              </w:rPr>
            </w:pPr>
          </w:p>
        </w:tc>
        <w:tc>
          <w:tcPr>
            <w:tcW w:w="907"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907"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r>
      <w:tr>
        <w:trPr>
          <w:cantSplit/>
        </w:trPr>
        <w:tc>
          <w:tcPr>
            <w:tcW w:w="1984" w:type="dxa"/>
            <w:shd w:val="clear" w:color="auto" w:fill="auto"/>
            <w:vAlign w:val="center"/>
          </w:tcPr>
          <w:p>
            <w:pPr>
              <w:spacing w:line="300" w:lineRule="exact"/>
              <w:jc w:val="lef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531" w:type="dxa"/>
            <w:tcBorders>
              <w:left w:val="single" w:sz="6" w:space="0" w:color="000000"/>
            </w:tcBorders>
            <w:shd w:val="clear" w:color="auto" w:fill="auto"/>
            <w:vAlign w:val="center"/>
          </w:tcPr>
          <w:p>
            <w:pPr>
              <w:spacing w:line="300" w:lineRule="exact"/>
              <w:jc w:val="left"/>
              <w:rPr>
                <w:rFonts w:ascii="方正书宋_GBK" w:eastAsia="方正书宋_GBK" w:cs="Times New Roman"/>
              </w:rPr>
            </w:pPr>
          </w:p>
        </w:tc>
        <w:tc>
          <w:tcPr>
            <w:tcW w:w="1531" w:type="dxa"/>
            <w:tcBorders>
              <w:left w:val="single" w:sz="6" w:space="0" w:color="000000"/>
            </w:tcBorders>
            <w:shd w:val="clear" w:color="auto" w:fill="auto"/>
            <w:vAlign w:val="center"/>
          </w:tcPr>
          <w:p>
            <w:pPr>
              <w:spacing w:line="300" w:lineRule="exact"/>
              <w:jc w:val="left"/>
              <w:rPr>
                <w:rFonts w:ascii="方正书宋_GBK" w:eastAsia="方正书宋_GBK" w:cs="Times New Roman"/>
              </w:rPr>
            </w:pPr>
          </w:p>
        </w:tc>
        <w:tc>
          <w:tcPr>
            <w:tcW w:w="709" w:type="dxa"/>
            <w:tcBorders>
              <w:left w:val="single" w:sz="6" w:space="0" w:color="000000"/>
            </w:tcBorders>
            <w:shd w:val="clear" w:color="auto" w:fill="auto"/>
            <w:vAlign w:val="center"/>
          </w:tcPr>
          <w:p>
            <w:pPr>
              <w:spacing w:line="300" w:lineRule="exact"/>
              <w:jc w:val="center"/>
              <w:rPr>
                <w:rFonts w:ascii="方正书宋_GBK" w:eastAsia="方正书宋_GBK" w:cs="Times New Roman"/>
              </w:rPr>
            </w:pPr>
          </w:p>
        </w:tc>
        <w:tc>
          <w:tcPr>
            <w:tcW w:w="907"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907"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c>
          <w:tcPr>
            <w:tcW w:w="1134" w:type="dxa"/>
            <w:tcBorders>
              <w:left w:val="single" w:sz="6" w:space="0" w:color="000000"/>
            </w:tcBorders>
            <w:shd w:val="clear" w:color="auto" w:fill="auto"/>
            <w:vAlign w:val="center"/>
          </w:tcPr>
          <w:p>
            <w:pPr>
              <w:spacing w:line="300" w:lineRule="exact"/>
              <w:jc w:val="right"/>
              <w:rPr>
                <w:rFonts w:ascii="方正书宋_GBK" w:eastAsia="方正书宋_GBK" w:cs="Times New Roman"/>
              </w:rPr>
            </w:pPr>
          </w:p>
        </w:tc>
      </w:tr>
    </w:tbl>
    <w:p>
      <w:pPr>
        <w:spacing w:line="584" w:lineRule="exact"/>
        <w:jc w:val="left"/>
        <w:outlineLvl w:val="0"/>
        <w:rPr>
          <w:rFonts w:ascii="Times New Roman" w:eastAsia="仿宋_GB2312" w:cs="Times New Roman" w:hAnsi="Times New Roman"/>
        </w:rPr>
        <w:sectPr>
          <w:pgSz w:w="16839" w:h="11907" w:orient="landscape"/>
          <w:pgMar w:top="1304" w:right="1020" w:bottom="1304" w:left="1020" w:header="851" w:footer="992" w:gutter="0"/>
          <w:cols w:num="1" w:space="720"/>
          <w:docGrid w:type="lines" w:linePitch="312" w:charSpace="0"/>
        </w:sectPr>
      </w:pPr>
    </w:p>
    <w:p>
      <w:pPr>
        <w:autoSpaceDE w:val="0"/>
        <w:autoSpaceDN w:val="0"/>
        <w:adjustRightInd w:val="0"/>
        <w:spacing w:line="584" w:lineRule="exact"/>
        <w:ind w:firstLineChars="200" w:firstLine="640"/>
        <w:jc w:val="left"/>
        <w:rPr>
          <w:rFonts w:ascii="Times New Roman" w:eastAsia="黑体" w:cs="Times New Roman" w:hAnsi="Times New Roman"/>
          <w:sz w:val="32"/>
          <w:szCs w:val="32"/>
        </w:rPr>
      </w:pPr>
      <w:r>
        <w:rPr>
          <w:rFonts w:ascii="Times New Roman" w:eastAsia="黑体" w:cs="Times New Roman" w:hAnsi="Times New Roman"/>
          <w:sz w:val="32"/>
          <w:szCs w:val="32"/>
        </w:rPr>
        <w:t>七、国有资产信息</w:t>
      </w:r>
    </w:p>
    <w:p>
      <w:pPr>
        <w:spacing w:line="584" w:lineRule="exact"/>
        <w:ind w:firstLine="640"/>
        <w:rPr>
          <w:rFonts w:ascii="Times New Roman" w:eastAsia="仿宋_GB2312" w:cs="Times New Roman" w:hAnsi="Times New Roman"/>
          <w:sz w:val="32"/>
          <w:szCs w:val="32"/>
        </w:rPr>
      </w:pPr>
      <w:r>
        <w:rPr>
          <w:rFonts w:ascii="Times New Roman" w:eastAsia="仿宋_GB2312" w:cs="Times New Roman" w:hAnsi="Times New Roman"/>
          <w:sz w:val="32"/>
          <w:szCs w:val="32"/>
        </w:rPr>
        <w:t>永清县应急管理局上年末固定资产金额为</w:t>
      </w:r>
      <w:r>
        <w:rPr>
          <w:rFonts w:ascii="Times New Roman" w:eastAsia="仿宋_GB2312" w:cs="Times New Roman" w:hAnsi="Times New Roman" w:hint="eastAsia"/>
          <w:sz w:val="32"/>
          <w:szCs w:val="32"/>
        </w:rPr>
        <w:t>274.41</w:t>
      </w:r>
      <w:r>
        <w:rPr>
          <w:rFonts w:ascii="Times New Roman" w:eastAsia="仿宋_GB2312" w:cs="Times New Roman" w:hAnsi="Times New Roman"/>
          <w:sz w:val="32"/>
          <w:szCs w:val="32"/>
        </w:rPr>
        <w:t>万元</w:t>
      </w:r>
      <w:r>
        <w:rPr>
          <w:rFonts w:ascii="Times New Roman" w:eastAsia="仿宋_GB2312" w:cs="Times New Roman" w:hAnsi="Times New Roman" w:hint="eastAsia"/>
          <w:sz w:val="32"/>
          <w:szCs w:val="32"/>
        </w:rPr>
        <w:t>（详见下表）</w:t>
      </w:r>
      <w:r>
        <w:rPr>
          <w:rFonts w:ascii="Times New Roman" w:eastAsia="仿宋_GB2312" w:cs="Times New Roman" w:hAnsi="Times New Roman"/>
          <w:sz w:val="32"/>
          <w:szCs w:val="32"/>
        </w:rPr>
        <w:t>，本年度我</w:t>
      </w:r>
      <w:r>
        <w:rPr>
          <w:rFonts w:ascii="Times New Roman" w:eastAsia="仿宋_GB2312" w:cs="Times New Roman" w:hAnsi="Times New Roman" w:hint="eastAsia"/>
          <w:sz w:val="32"/>
          <w:szCs w:val="32"/>
          <w:lang w:eastAsia="zh-CN"/>
        </w:rPr>
        <w:t>单位</w:t>
      </w:r>
      <w:r>
        <w:rPr>
          <w:rFonts w:ascii="Times New Roman" w:eastAsia="仿宋_GB2312" w:cs="Times New Roman" w:hAnsi="Times New Roman"/>
          <w:sz w:val="32"/>
          <w:szCs w:val="32"/>
        </w:rPr>
        <w:t>拟购置固定资产</w:t>
      </w:r>
      <w:r>
        <w:rPr>
          <w:rFonts w:ascii="Times New Roman" w:eastAsia="仿宋_GB2312" w:cs="Times New Roman" w:hAnsi="Times New Roman" w:hint="eastAsia"/>
          <w:sz w:val="32"/>
          <w:szCs w:val="32"/>
        </w:rPr>
        <w:t>总额为0万元</w:t>
      </w:r>
      <w:r>
        <w:rPr>
          <w:rFonts w:ascii="Times New Roman" w:eastAsia="仿宋_GB2312" w:cs="Times New Roman" w:hAnsi="Times New Roman"/>
          <w:sz w:val="32"/>
          <w:szCs w:val="32"/>
        </w:rPr>
        <w:t>。</w:t>
      </w:r>
    </w:p>
    <w:p>
      <w:pPr>
        <w:spacing w:line="584" w:lineRule="exact"/>
        <w:ind w:firstLine="640"/>
        <w:rPr>
          <w:rFonts w:ascii="Times New Roman" w:eastAsia="仿宋_GB2312" w:cs="Times New Roman" w:hAnsi="Times New Roman"/>
          <w:sz w:val="32"/>
          <w:szCs w:val="32"/>
        </w:rPr>
      </w:pPr>
    </w:p>
    <w:tbl>
      <w:tblPr>
        <w:jc w:val="left"/>
        <w:tblInd w:w="93" w:type="dxa"/>
        <w:tblW w:w="13482" w:type="dxa"/>
        <w:tblBorders>
          <w:top w:val="none" w:sz="0" w:space="0" w:color="auto"/>
          <w:left w:val="none" w:sz="0" w:space="0" w:color="auto"/>
          <w:bottom w:val="none" w:sz="0" w:space="0" w:color="auto"/>
          <w:right w:val="none" w:sz="0" w:space="0" w:color="auto"/>
        </w:tblBorders>
        <w:tblCellMar>
          <w:top w:w="0" w:type="dxa"/>
          <w:left w:w="108" w:type="dxa"/>
          <w:bottom w:w="0" w:type="dxa"/>
          <w:right w:w="108" w:type="dxa"/>
        </w:tblCellMar>
        <w:tblLook w:val="0600" w:firstRow="0" w:lastRow="0" w:firstColumn="0" w:lastColumn="0" w:noHBand="1" w:noVBand="1"/>
      </w:tblPr>
      <w:tblGrid>
        <w:gridCol w:w="5224"/>
        <w:gridCol w:w="3155"/>
        <w:gridCol w:w="5103"/>
      </w:tblGrid>
      <w:tr>
        <w:trPr>
          <w:trHeight w:val="705"/>
        </w:trPr>
        <w:tc>
          <w:tcPr>
            <w:tcW w:w="13482" w:type="dxa"/>
            <w:gridSpan w:val="3"/>
            <w:tcBorders>
              <w:top w:val="nil"/>
              <w:left w:val="nil"/>
              <w:bottom w:val="nil"/>
              <w:right w:val="nil"/>
            </w:tcBorders>
            <w:shd w:val="clear" w:color="auto" w:fill="auto"/>
            <w:noWrap/>
            <w:vAlign w:val="center"/>
          </w:tcPr>
          <w:p>
            <w:pPr>
              <w:widowControl/>
              <w:spacing w:line="584" w:lineRule="exact"/>
              <w:jc w:val="center"/>
              <w:rPr>
                <w:rFonts w:ascii="Times New Roman" w:eastAsia="仿宋_GB2312" w:cs="Times New Roman" w:hAnsi="Times New Roman"/>
                <w:b/>
                <w:bCs/>
                <w:kern w:val="0"/>
                <w:sz w:val="32"/>
                <w:szCs w:val="32"/>
              </w:rPr>
            </w:pPr>
            <w:r>
              <w:rPr>
                <w:rFonts w:ascii="Times New Roman" w:eastAsia="仿宋_GB2312" w:cs="Times New Roman" w:hAnsi="Times New Roman"/>
                <w:b/>
                <w:bCs/>
                <w:kern w:val="0"/>
                <w:sz w:val="32"/>
                <w:szCs w:val="32"/>
              </w:rPr>
              <w:t>永清县县直</w:t>
            </w:r>
            <w:r>
              <w:rPr>
                <w:rFonts w:ascii="Times New Roman" w:eastAsia="仿宋_GB2312" w:cs="Times New Roman" w:hAnsi="Times New Roman" w:hint="eastAsia"/>
                <w:b/>
                <w:bCs/>
                <w:kern w:val="0"/>
                <w:sz w:val="32"/>
                <w:szCs w:val="32"/>
                <w:lang w:eastAsia="zh-CN"/>
              </w:rPr>
              <w:t>单位</w:t>
            </w:r>
            <w:r>
              <w:rPr>
                <w:rFonts w:ascii="Times New Roman" w:eastAsia="仿宋_GB2312" w:cs="Times New Roman" w:hAnsi="Times New Roman"/>
                <w:b/>
                <w:bCs/>
                <w:kern w:val="0"/>
                <w:sz w:val="32"/>
                <w:szCs w:val="32"/>
              </w:rPr>
              <w:t>固定资产占用情况表</w:t>
            </w:r>
          </w:p>
        </w:tc>
      </w:tr>
      <w:tr>
        <w:trPr>
          <w:trHeight w:val="510"/>
        </w:trPr>
        <w:tc>
          <w:tcPr>
            <w:tcW w:w="8379" w:type="dxa"/>
            <w:gridSpan w:val="2"/>
            <w:tcBorders>
              <w:top w:val="nil"/>
              <w:left w:val="nil"/>
              <w:bottom w:val="nil"/>
              <w:right w:val="nil"/>
            </w:tcBorders>
            <w:shd w:val="clear" w:color="auto" w:fill="auto"/>
            <w:noWrap/>
            <w:vAlign w:val="center"/>
          </w:tcPr>
          <w:p>
            <w:pPr>
              <w:widowControl/>
              <w:spacing w:line="584" w:lineRule="exact"/>
              <w:jc w:val="left"/>
              <w:rPr>
                <w:rFonts w:ascii="Times New Roman" w:eastAsia="仿宋_GB2312" w:cs="Times New Roman" w:hAnsi="Times New Roman"/>
                <w:kern w:val="0"/>
                <w:sz w:val="22"/>
              </w:rPr>
            </w:pPr>
            <w:r>
              <w:rPr>
                <w:rFonts w:ascii="Times New Roman" w:eastAsia="仿宋_GB2312" w:cs="Times New Roman" w:hAnsi="Times New Roman"/>
                <w:kern w:val="0"/>
                <w:sz w:val="22"/>
              </w:rPr>
              <w:t>编制</w:t>
            </w:r>
            <w:r>
              <w:rPr>
                <w:rFonts w:ascii="Times New Roman" w:eastAsia="仿宋_GB2312" w:cs="Times New Roman" w:hAnsi="Times New Roman" w:hint="eastAsia"/>
                <w:kern w:val="0"/>
                <w:sz w:val="22"/>
                <w:lang w:eastAsia="zh-CN"/>
              </w:rPr>
              <w:t>单位</w:t>
            </w:r>
            <w:r>
              <w:rPr>
                <w:rFonts w:ascii="Times New Roman" w:eastAsia="仿宋_GB2312" w:cs="Times New Roman" w:hAnsi="Times New Roman"/>
                <w:kern w:val="0"/>
                <w:sz w:val="22"/>
              </w:rPr>
              <w:t>：永清县应急管理局</w:t>
            </w:r>
          </w:p>
        </w:tc>
        <w:tc>
          <w:tcPr>
            <w:tcW w:w="5103" w:type="dxa"/>
            <w:tcBorders>
              <w:top w:val="nil"/>
              <w:left w:val="nil"/>
              <w:bottom w:val="nil"/>
              <w:right w:val="nil"/>
            </w:tcBorders>
            <w:shd w:val="clear" w:color="auto" w:fill="auto"/>
            <w:noWrap/>
            <w:vAlign w:val="center"/>
          </w:tcPr>
          <w:p>
            <w:pPr>
              <w:widowControl/>
              <w:spacing w:line="584" w:lineRule="exact"/>
              <w:jc w:val="left"/>
              <w:rPr>
                <w:rFonts w:ascii="Times New Roman" w:eastAsia="仿宋_GB2312" w:cs="Times New Roman" w:hAnsi="Times New Roman"/>
                <w:kern w:val="0"/>
                <w:sz w:val="22"/>
              </w:rPr>
            </w:pPr>
            <w:r>
              <w:rPr>
                <w:rFonts w:ascii="Times New Roman" w:eastAsia="仿宋_GB2312" w:cs="Times New Roman" w:hAnsi="Times New Roman"/>
                <w:kern w:val="0"/>
                <w:sz w:val="22"/>
              </w:rPr>
              <w:t>截止时间：20</w:t>
            </w:r>
            <w:r>
              <w:rPr>
                <w:rFonts w:ascii="Times New Roman" w:eastAsia="仿宋_GB2312" w:cs="Times New Roman" w:hAnsi="Times New Roman" w:hint="eastAsia"/>
                <w:kern w:val="0"/>
                <w:sz w:val="22"/>
              </w:rPr>
              <w:t>2</w:t>
            </w:r>
            <w:r>
              <w:rPr>
                <w:rFonts w:ascii="Times New Roman" w:eastAsia="仿宋_GB2312" w:cs="Times New Roman" w:hAnsi="Times New Roman" w:hint="eastAsia"/>
                <w:kern w:val="0"/>
                <w:sz w:val="22"/>
                <w:lang w:val="en-US" w:eastAsia="zh-CN"/>
              </w:rPr>
              <w:t>1</w:t>
            </w:r>
            <w:r>
              <w:rPr>
                <w:rFonts w:ascii="Times New Roman" w:eastAsia="仿宋_GB2312" w:cs="Times New Roman" w:hAnsi="Times New Roman"/>
                <w:kern w:val="0"/>
                <w:sz w:val="22"/>
              </w:rPr>
              <w:t xml:space="preserve">年12月31日  </w:t>
            </w:r>
          </w:p>
        </w:tc>
      </w:tr>
      <w:tr>
        <w:trPr>
          <w:trHeight w:hRule="exact" w:val="567"/>
        </w:trPr>
        <w:tc>
          <w:tcPr>
            <w:tcW w:w="5224" w:type="dxa"/>
            <w:tcBorders>
              <w:top w:val="single" w:sz="4" w:space="0" w:color="auto"/>
              <w:left w:val="single" w:sz="4" w:space="0" w:color="auto"/>
              <w:bottom w:val="single" w:sz="4" w:space="0" w:color="auto"/>
              <w:right w:val="single" w:sz="4" w:space="0" w:color="auto"/>
            </w:tcBorders>
            <w:shd w:val="clear" w:color="auto" w:fill="auto"/>
            <w:noWrap/>
            <w:vAlign w:val="center"/>
          </w:tcPr>
          <w:p>
            <w:pPr>
              <w:widowControl/>
              <w:spacing w:line="584" w:lineRule="exact"/>
              <w:jc w:val="center"/>
              <w:rPr>
                <w:rFonts w:ascii="Times New Roman" w:eastAsia="仿宋_GB2312" w:cs="Times New Roman" w:hAnsi="Times New Roman"/>
                <w:b/>
                <w:bCs/>
                <w:kern w:val="0"/>
                <w:sz w:val="22"/>
              </w:rPr>
            </w:pPr>
            <w:r>
              <w:rPr>
                <w:rFonts w:ascii="Times New Roman" w:eastAsia="仿宋_GB2312" w:cs="Times New Roman" w:hAnsi="Times New Roman"/>
                <w:b/>
                <w:bCs/>
                <w:kern w:val="0"/>
                <w:sz w:val="22"/>
              </w:rPr>
              <w:t>项   目</w:t>
            </w:r>
          </w:p>
        </w:tc>
        <w:tc>
          <w:tcPr>
            <w:tcW w:w="3155" w:type="dxa"/>
            <w:tcBorders>
              <w:top w:val="single" w:sz="4" w:space="0" w:color="auto"/>
              <w:left w:val="nil"/>
              <w:bottom w:val="single" w:sz="4" w:space="0" w:color="auto"/>
              <w:right w:val="single" w:sz="4" w:space="0" w:color="auto"/>
            </w:tcBorders>
            <w:shd w:val="clear" w:color="auto" w:fill="auto"/>
            <w:noWrap/>
            <w:vAlign w:val="center"/>
          </w:tcPr>
          <w:p>
            <w:pPr>
              <w:widowControl/>
              <w:spacing w:line="584" w:lineRule="exact"/>
              <w:jc w:val="center"/>
              <w:rPr>
                <w:rFonts w:ascii="Times New Roman" w:eastAsia="仿宋_GB2312" w:cs="Times New Roman" w:hAnsi="Times New Roman"/>
                <w:b/>
                <w:bCs/>
                <w:kern w:val="0"/>
                <w:sz w:val="22"/>
              </w:rPr>
            </w:pPr>
            <w:r>
              <w:rPr>
                <w:rFonts w:ascii="Times New Roman" w:eastAsia="仿宋_GB2312" w:cs="Times New Roman" w:hAnsi="Times New Roman"/>
                <w:b/>
                <w:bCs/>
                <w:kern w:val="0"/>
                <w:sz w:val="22"/>
              </w:rPr>
              <w:t>数量</w:t>
            </w:r>
          </w:p>
        </w:tc>
        <w:tc>
          <w:tcPr>
            <w:tcW w:w="5103" w:type="dxa"/>
            <w:tcBorders>
              <w:top w:val="single" w:sz="4" w:space="0" w:color="auto"/>
              <w:left w:val="nil"/>
              <w:bottom w:val="single" w:sz="4" w:space="0" w:color="auto"/>
              <w:right w:val="single" w:sz="4" w:space="0" w:color="auto"/>
            </w:tcBorders>
            <w:shd w:val="clear" w:color="auto" w:fill="auto"/>
            <w:noWrap/>
            <w:vAlign w:val="center"/>
          </w:tcPr>
          <w:p>
            <w:pPr>
              <w:widowControl/>
              <w:spacing w:line="584" w:lineRule="exact"/>
              <w:jc w:val="center"/>
              <w:rPr>
                <w:rFonts w:ascii="Times New Roman" w:eastAsia="仿宋_GB2312" w:cs="Times New Roman" w:hAnsi="Times New Roman"/>
                <w:b/>
                <w:bCs/>
                <w:kern w:val="0"/>
                <w:sz w:val="22"/>
              </w:rPr>
            </w:pPr>
            <w:r>
              <w:rPr>
                <w:rFonts w:ascii="Times New Roman" w:eastAsia="仿宋_GB2312" w:cs="Times New Roman" w:hAnsi="Times New Roman"/>
                <w:b/>
                <w:bCs/>
                <w:kern w:val="0"/>
                <w:sz w:val="22"/>
              </w:rPr>
              <w:t>价值（金额单位：万元）</w:t>
            </w:r>
          </w:p>
        </w:tc>
      </w:tr>
      <w:tr>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tcPr>
          <w:p>
            <w:pPr>
              <w:widowControl/>
              <w:spacing w:line="584" w:lineRule="exact"/>
              <w:jc w:val="center"/>
              <w:rPr>
                <w:rFonts w:ascii="Times New Roman" w:eastAsia="仿宋_GB2312" w:cs="Times New Roman" w:hAnsi="Times New Roman"/>
                <w:kern w:val="0"/>
                <w:sz w:val="22"/>
              </w:rPr>
            </w:pPr>
            <w:r>
              <w:rPr>
                <w:rFonts w:ascii="Times New Roman" w:eastAsia="仿宋_GB2312" w:cs="Times New Roman" w:hAnsi="Times New Roman"/>
                <w:kern w:val="0"/>
                <w:sz w:val="22"/>
              </w:rPr>
              <w:t>资产总额</w:t>
            </w:r>
          </w:p>
        </w:tc>
        <w:tc>
          <w:tcPr>
            <w:tcW w:w="3155" w:type="dxa"/>
            <w:tcBorders>
              <w:top w:val="nil"/>
              <w:left w:val="nil"/>
              <w:bottom w:val="single" w:sz="4" w:space="0" w:color="auto"/>
              <w:right w:val="single" w:sz="4" w:space="0" w:color="auto"/>
            </w:tcBorders>
            <w:shd w:val="clear" w:color="auto" w:fill="auto"/>
            <w:noWrap/>
            <w:vAlign w:val="center"/>
          </w:tcPr>
          <w:p>
            <w:pPr>
              <w:spacing w:line="584" w:lineRule="exact"/>
              <w:jc w:val="center"/>
              <w:rPr>
                <w:rFonts w:ascii="Times New Roman" w:eastAsia="仿宋_GB2312" w:cs="Times New Roman" w:hAnsi="Times New Roman"/>
                <w:sz w:val="22"/>
              </w:rPr>
            </w:pPr>
            <w:r>
              <w:rPr>
                <w:rFonts w:ascii="Times New Roman" w:eastAsia="仿宋_GB2312" w:cs="Times New Roman" w:hAnsi="Times New Roman"/>
                <w:sz w:val="22"/>
              </w:rPr>
              <w:t>——</w:t>
            </w:r>
          </w:p>
        </w:tc>
        <w:tc>
          <w:tcPr>
            <w:tcW w:w="5103" w:type="dxa"/>
            <w:tcBorders>
              <w:top w:val="nil"/>
              <w:left w:val="nil"/>
              <w:bottom w:val="single" w:sz="4" w:space="0" w:color="auto"/>
              <w:right w:val="single" w:sz="4" w:space="0" w:color="auto"/>
            </w:tcBorders>
            <w:shd w:val="clear" w:color="auto" w:fill="auto"/>
            <w:noWrap/>
            <w:vAlign w:val="center"/>
          </w:tcPr>
          <w:p>
            <w:pPr>
              <w:spacing w:line="584" w:lineRule="exact"/>
              <w:jc w:val="center"/>
              <w:rPr>
                <w:rFonts w:ascii="Times New Roman" w:eastAsia="仿宋_GB2312" w:cs="Times New Roman" w:hAnsi="Times New Roman"/>
                <w:sz w:val="22"/>
              </w:rPr>
            </w:pPr>
            <w:r>
              <w:rPr>
                <w:rFonts w:ascii="Times New Roman" w:eastAsia="仿宋_GB2312" w:cs="Times New Roman" w:hAnsi="Times New Roman" w:hint="eastAsia"/>
                <w:sz w:val="22"/>
                <w:lang w:val="en-US" w:eastAsia="zh-CN"/>
              </w:rPr>
              <w:t>274.41</w:t>
            </w:r>
          </w:p>
        </w:tc>
      </w:tr>
      <w:tr>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tcPr>
          <w:p>
            <w:pPr>
              <w:widowControl/>
              <w:spacing w:line="584" w:lineRule="exact"/>
              <w:jc w:val="center"/>
              <w:rPr>
                <w:rFonts w:ascii="Times New Roman" w:eastAsia="仿宋_GB2312" w:cs="Times New Roman" w:hAnsi="Times New Roman"/>
                <w:kern w:val="0"/>
                <w:sz w:val="22"/>
              </w:rPr>
            </w:pPr>
            <w:r>
              <w:rPr>
                <w:rFonts w:ascii="Times New Roman" w:eastAsia="仿宋_GB2312" w:cs="Times New Roman" w:hAnsi="Times New Roman"/>
                <w:kern w:val="0"/>
                <w:sz w:val="22"/>
              </w:rPr>
              <w:t>1、房屋（平方米）</w:t>
            </w:r>
          </w:p>
        </w:tc>
        <w:tc>
          <w:tcPr>
            <w:tcW w:w="3155" w:type="dxa"/>
            <w:tcBorders>
              <w:top w:val="nil"/>
              <w:left w:val="nil"/>
              <w:bottom w:val="single" w:sz="4" w:space="0" w:color="auto"/>
              <w:right w:val="single" w:sz="4" w:space="0" w:color="auto"/>
            </w:tcBorders>
            <w:shd w:val="clear" w:color="auto" w:fill="auto"/>
            <w:noWrap/>
            <w:vAlign w:val="center"/>
          </w:tcPr>
          <w:p>
            <w:pPr>
              <w:spacing w:line="584" w:lineRule="exact"/>
              <w:jc w:val="center"/>
              <w:rPr>
                <w:rFonts w:ascii="Times New Roman" w:eastAsia="仿宋_GB2312" w:cs="Times New Roman" w:hAnsi="Times New Roman"/>
                <w:sz w:val="22"/>
              </w:rPr>
            </w:pPr>
          </w:p>
        </w:tc>
        <w:tc>
          <w:tcPr>
            <w:tcW w:w="5103" w:type="dxa"/>
            <w:tcBorders>
              <w:top w:val="nil"/>
              <w:left w:val="nil"/>
              <w:bottom w:val="single" w:sz="4" w:space="0" w:color="auto"/>
              <w:right w:val="single" w:sz="4" w:space="0" w:color="auto"/>
            </w:tcBorders>
            <w:shd w:val="clear" w:color="auto" w:fill="auto"/>
            <w:noWrap/>
            <w:vAlign w:val="center"/>
          </w:tcPr>
          <w:p>
            <w:pPr>
              <w:spacing w:line="584" w:lineRule="exact"/>
              <w:jc w:val="center"/>
              <w:rPr>
                <w:rFonts w:ascii="Times New Roman" w:eastAsia="仿宋_GB2312" w:cs="Times New Roman" w:hAnsi="Times New Roman"/>
                <w:sz w:val="22"/>
              </w:rPr>
            </w:pPr>
          </w:p>
        </w:tc>
      </w:tr>
      <w:tr>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tcPr>
          <w:p>
            <w:pPr>
              <w:widowControl/>
              <w:spacing w:line="584" w:lineRule="exact"/>
              <w:jc w:val="center"/>
              <w:rPr>
                <w:rFonts w:ascii="Times New Roman" w:eastAsia="仿宋_GB2312" w:cs="Times New Roman" w:hAnsi="Times New Roman"/>
                <w:kern w:val="0"/>
                <w:sz w:val="22"/>
              </w:rPr>
            </w:pPr>
            <w:r>
              <w:rPr>
                <w:rFonts w:ascii="Times New Roman" w:eastAsia="仿宋_GB2312" w:cs="Times New Roman" w:hAnsi="Times New Roman"/>
                <w:kern w:val="0"/>
                <w:sz w:val="22"/>
              </w:rPr>
              <w:t>其中：办公用房（平方米）</w:t>
            </w:r>
          </w:p>
        </w:tc>
        <w:tc>
          <w:tcPr>
            <w:tcW w:w="3155" w:type="dxa"/>
            <w:tcBorders>
              <w:top w:val="nil"/>
              <w:left w:val="nil"/>
              <w:bottom w:val="single" w:sz="4" w:space="0" w:color="auto"/>
              <w:right w:val="single" w:sz="4" w:space="0" w:color="auto"/>
            </w:tcBorders>
            <w:shd w:val="clear" w:color="auto" w:fill="auto"/>
            <w:noWrap/>
            <w:vAlign w:val="center"/>
          </w:tcPr>
          <w:p>
            <w:pPr>
              <w:spacing w:line="584" w:lineRule="exact"/>
              <w:jc w:val="center"/>
              <w:rPr>
                <w:rFonts w:ascii="Times New Roman" w:eastAsia="仿宋_GB2312" w:cs="Times New Roman" w:hAnsi="Times New Roman"/>
                <w:sz w:val="22"/>
              </w:rPr>
            </w:pPr>
          </w:p>
        </w:tc>
        <w:tc>
          <w:tcPr>
            <w:tcW w:w="5103" w:type="dxa"/>
            <w:tcBorders>
              <w:top w:val="nil"/>
              <w:left w:val="nil"/>
              <w:bottom w:val="single" w:sz="4" w:space="0" w:color="auto"/>
              <w:right w:val="single" w:sz="4" w:space="0" w:color="auto"/>
            </w:tcBorders>
            <w:shd w:val="clear" w:color="auto" w:fill="auto"/>
            <w:noWrap/>
            <w:vAlign w:val="center"/>
          </w:tcPr>
          <w:p>
            <w:pPr>
              <w:spacing w:line="584" w:lineRule="exact"/>
              <w:jc w:val="center"/>
              <w:rPr>
                <w:rFonts w:ascii="Times New Roman" w:eastAsia="仿宋_GB2312" w:cs="Times New Roman" w:hAnsi="Times New Roman"/>
                <w:sz w:val="22"/>
              </w:rPr>
            </w:pPr>
          </w:p>
        </w:tc>
      </w:tr>
      <w:tr>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tcPr>
          <w:p>
            <w:pPr>
              <w:widowControl/>
              <w:spacing w:line="584" w:lineRule="exact"/>
              <w:jc w:val="center"/>
              <w:rPr>
                <w:rFonts w:ascii="Times New Roman" w:eastAsia="仿宋_GB2312" w:cs="Times New Roman" w:hAnsi="Times New Roman"/>
                <w:kern w:val="0"/>
                <w:sz w:val="22"/>
              </w:rPr>
            </w:pPr>
            <w:r>
              <w:rPr>
                <w:rFonts w:ascii="Times New Roman" w:eastAsia="仿宋_GB2312" w:cs="Times New Roman" w:hAnsi="Times New Roman"/>
                <w:kern w:val="0"/>
                <w:sz w:val="22"/>
              </w:rPr>
              <w:t>2、车辆（台、辆）</w:t>
            </w:r>
          </w:p>
        </w:tc>
        <w:tc>
          <w:tcPr>
            <w:tcW w:w="3155" w:type="dxa"/>
            <w:tcBorders>
              <w:top w:val="nil"/>
              <w:left w:val="nil"/>
              <w:bottom w:val="single" w:sz="4" w:space="0" w:color="auto"/>
              <w:right w:val="single" w:sz="4" w:space="0" w:color="auto"/>
            </w:tcBorders>
            <w:shd w:val="clear" w:color="auto" w:fill="auto"/>
            <w:noWrap/>
            <w:vAlign w:val="center"/>
          </w:tcPr>
          <w:p>
            <w:pPr>
              <w:spacing w:line="584" w:lineRule="exact"/>
              <w:jc w:val="center"/>
              <w:rPr>
                <w:rFonts w:ascii="Times New Roman" w:eastAsia="仿宋_GB2312" w:cs="Times New Roman" w:hAnsi="Times New Roman" w:hint="eastAsia"/>
                <w:kern w:val="2"/>
                <w:sz w:val="22"/>
                <w:szCs w:val="22"/>
                <w:lang w:val="en-US" w:eastAsia="zh-CN" w:bidi="ar-SA"/>
              </w:rPr>
            </w:pPr>
            <w:r>
              <w:rPr>
                <w:rFonts w:ascii="Times New Roman" w:eastAsia="仿宋_GB2312" w:cs="Times New Roman" w:hAnsi="Times New Roman" w:hint="eastAsia"/>
                <w:sz w:val="22"/>
                <w:lang w:val="en-US" w:eastAsia="zh-CN"/>
              </w:rPr>
              <w:t>6</w:t>
            </w:r>
          </w:p>
        </w:tc>
        <w:tc>
          <w:tcPr>
            <w:tcW w:w="5103" w:type="dxa"/>
            <w:tcBorders>
              <w:top w:val="nil"/>
              <w:left w:val="nil"/>
              <w:bottom w:val="single" w:sz="4" w:space="0" w:color="auto"/>
              <w:right w:val="single" w:sz="4" w:space="0" w:color="auto"/>
            </w:tcBorders>
            <w:shd w:val="clear" w:color="auto" w:fill="auto"/>
            <w:noWrap/>
            <w:vAlign w:val="center"/>
          </w:tcPr>
          <w:p>
            <w:pPr>
              <w:spacing w:line="584" w:lineRule="exact"/>
              <w:jc w:val="center"/>
              <w:rPr>
                <w:rFonts w:ascii="Times New Roman" w:eastAsia="仿宋_GB2312" w:cs="Times New Roman" w:hAnsi="Times New Roman"/>
                <w:kern w:val="2"/>
                <w:sz w:val="22"/>
                <w:szCs w:val="22"/>
                <w:lang w:val="en-US" w:eastAsia="zh-CN" w:bidi="ar-SA"/>
              </w:rPr>
            </w:pPr>
            <w:r>
              <w:rPr>
                <w:rFonts w:ascii="Times New Roman" w:eastAsia="仿宋_GB2312" w:cs="Times New Roman" w:hAnsi="Times New Roman" w:hint="eastAsia"/>
                <w:sz w:val="22"/>
                <w:lang w:val="en-US" w:eastAsia="zh-CN"/>
              </w:rPr>
              <w:t>113.02</w:t>
            </w:r>
          </w:p>
        </w:tc>
      </w:tr>
      <w:tr>
        <w:trPr>
          <w:trHeight w:hRule="exact" w:val="567"/>
        </w:trPr>
        <w:tc>
          <w:tcPr>
            <w:tcW w:w="5224" w:type="dxa"/>
            <w:tcBorders>
              <w:top w:val="nil"/>
              <w:left w:val="single" w:sz="4" w:space="0" w:color="auto"/>
              <w:bottom w:val="single" w:sz="4" w:space="0" w:color="auto"/>
              <w:right w:val="single" w:sz="4" w:space="0" w:color="auto"/>
            </w:tcBorders>
            <w:shd w:val="clear" w:color="auto" w:fill="auto"/>
            <w:vAlign w:val="center"/>
          </w:tcPr>
          <w:p>
            <w:pPr>
              <w:widowControl/>
              <w:spacing w:line="584" w:lineRule="exact"/>
              <w:jc w:val="center"/>
              <w:rPr>
                <w:rFonts w:ascii="Times New Roman" w:eastAsia="仿宋_GB2312" w:cs="Times New Roman" w:hAnsi="Times New Roman"/>
                <w:kern w:val="0"/>
                <w:sz w:val="22"/>
              </w:rPr>
            </w:pPr>
            <w:r>
              <w:rPr>
                <w:rFonts w:ascii="Times New Roman" w:eastAsia="仿宋_GB2312" w:cs="Times New Roman" w:hAnsi="Times New Roman"/>
                <w:kern w:val="0"/>
                <w:sz w:val="22"/>
              </w:rPr>
              <w:t>3、单价在20万元以上的设备</w:t>
            </w:r>
          </w:p>
        </w:tc>
        <w:tc>
          <w:tcPr>
            <w:tcW w:w="3155" w:type="dxa"/>
            <w:tcBorders>
              <w:top w:val="nil"/>
              <w:left w:val="nil"/>
              <w:bottom w:val="single" w:sz="4" w:space="0" w:color="auto"/>
              <w:right w:val="single" w:sz="4" w:space="0" w:color="auto"/>
            </w:tcBorders>
            <w:shd w:val="clear" w:color="auto" w:fill="auto"/>
            <w:noWrap/>
            <w:vAlign w:val="center"/>
          </w:tcPr>
          <w:p>
            <w:pPr>
              <w:spacing w:line="584" w:lineRule="exact"/>
              <w:jc w:val="center"/>
              <w:rPr>
                <w:rFonts w:ascii="Times New Roman" w:eastAsia="仿宋_GB2312" w:cs="Times New Roman" w:hAnsi="Times New Roman"/>
                <w:kern w:val="2"/>
                <w:sz w:val="22"/>
                <w:szCs w:val="22"/>
                <w:lang w:val="en-US" w:eastAsia="zh-CN" w:bidi="ar-SA"/>
              </w:rPr>
            </w:pPr>
          </w:p>
        </w:tc>
        <w:tc>
          <w:tcPr>
            <w:tcW w:w="5103" w:type="dxa"/>
            <w:tcBorders>
              <w:top w:val="nil"/>
              <w:left w:val="nil"/>
              <w:bottom w:val="single" w:sz="4" w:space="0" w:color="auto"/>
              <w:right w:val="single" w:sz="4" w:space="0" w:color="auto"/>
            </w:tcBorders>
            <w:shd w:val="clear" w:color="auto" w:fill="auto"/>
            <w:noWrap/>
            <w:vAlign w:val="center"/>
          </w:tcPr>
          <w:p>
            <w:pPr>
              <w:spacing w:line="584" w:lineRule="exact"/>
              <w:jc w:val="center"/>
              <w:rPr>
                <w:rFonts w:ascii="Times New Roman" w:eastAsia="仿宋_GB2312" w:cs="Times New Roman" w:hAnsi="Times New Roman"/>
                <w:kern w:val="2"/>
                <w:sz w:val="22"/>
                <w:szCs w:val="22"/>
                <w:lang w:val="en-US" w:eastAsia="zh-CN" w:bidi="ar-SA"/>
              </w:rPr>
            </w:pPr>
          </w:p>
        </w:tc>
      </w:tr>
      <w:tr>
        <w:trPr>
          <w:trHeight w:hRule="exact" w:val="567"/>
        </w:trPr>
        <w:tc>
          <w:tcPr>
            <w:tcW w:w="5224" w:type="dxa"/>
            <w:tcBorders>
              <w:top w:val="nil"/>
              <w:left w:val="single" w:sz="4" w:space="0" w:color="auto"/>
              <w:bottom w:val="single" w:sz="4" w:space="0" w:color="auto"/>
              <w:right w:val="single" w:sz="4" w:space="0" w:color="auto"/>
            </w:tcBorders>
            <w:shd w:val="clear" w:color="auto" w:fill="auto"/>
            <w:noWrap/>
            <w:vAlign w:val="center"/>
          </w:tcPr>
          <w:p>
            <w:pPr>
              <w:widowControl/>
              <w:spacing w:line="584" w:lineRule="exact"/>
              <w:jc w:val="center"/>
              <w:rPr>
                <w:rFonts w:ascii="Times New Roman" w:eastAsia="仿宋_GB2312" w:cs="Times New Roman" w:hAnsi="Times New Roman"/>
                <w:kern w:val="0"/>
                <w:sz w:val="22"/>
              </w:rPr>
            </w:pPr>
            <w:r>
              <w:rPr>
                <w:rFonts w:ascii="Times New Roman" w:eastAsia="仿宋_GB2312" w:cs="Times New Roman" w:hAnsi="Times New Roman"/>
                <w:kern w:val="0"/>
                <w:sz w:val="22"/>
              </w:rPr>
              <w:t>4、其他固定资产</w:t>
            </w:r>
          </w:p>
        </w:tc>
        <w:tc>
          <w:tcPr>
            <w:tcW w:w="3155" w:type="dxa"/>
            <w:tcBorders>
              <w:top w:val="nil"/>
              <w:left w:val="nil"/>
              <w:bottom w:val="single" w:sz="4" w:space="0" w:color="auto"/>
              <w:right w:val="single" w:sz="4" w:space="0" w:color="auto"/>
            </w:tcBorders>
            <w:shd w:val="clear" w:color="auto" w:fill="auto"/>
            <w:noWrap/>
            <w:vAlign w:val="center"/>
          </w:tcPr>
          <w:p>
            <w:pPr>
              <w:spacing w:line="584" w:lineRule="exact"/>
              <w:jc w:val="center"/>
              <w:rPr>
                <w:rFonts w:ascii="Times New Roman" w:eastAsia="仿宋_GB2312" w:cs="Times New Roman" w:hAnsi="Times New Roman"/>
                <w:kern w:val="2"/>
                <w:sz w:val="22"/>
                <w:szCs w:val="22"/>
                <w:lang w:val="en-US" w:eastAsia="zh-CN" w:bidi="ar-SA"/>
              </w:rPr>
            </w:pPr>
            <w:r>
              <w:rPr>
                <w:rFonts w:ascii="Times New Roman" w:eastAsia="仿宋_GB2312" w:cs="Times New Roman" w:hAnsi="Times New Roman" w:hint="eastAsia"/>
                <w:sz w:val="22"/>
                <w:lang w:val="en-US" w:eastAsia="zh-CN"/>
              </w:rPr>
              <w:t>332</w:t>
            </w:r>
          </w:p>
        </w:tc>
        <w:tc>
          <w:tcPr>
            <w:tcW w:w="5103" w:type="dxa"/>
            <w:tcBorders>
              <w:top w:val="nil"/>
              <w:left w:val="nil"/>
              <w:bottom w:val="single" w:sz="4" w:space="0" w:color="auto"/>
              <w:right w:val="single" w:sz="4" w:space="0" w:color="auto"/>
            </w:tcBorders>
            <w:shd w:val="clear" w:color="auto" w:fill="auto"/>
            <w:noWrap/>
            <w:vAlign w:val="center"/>
          </w:tcPr>
          <w:p>
            <w:pPr>
              <w:spacing w:line="584" w:lineRule="exact"/>
              <w:jc w:val="center"/>
              <w:rPr>
                <w:rFonts w:ascii="Times New Roman" w:eastAsia="仿宋_GB2312" w:cs="Times New Roman" w:hAnsi="Times New Roman"/>
                <w:kern w:val="2"/>
                <w:sz w:val="22"/>
                <w:szCs w:val="22"/>
                <w:lang w:val="en-US" w:eastAsia="zh-CN" w:bidi="ar-SA"/>
              </w:rPr>
            </w:pPr>
            <w:r>
              <w:rPr>
                <w:rFonts w:ascii="Times New Roman" w:eastAsia="仿宋_GB2312" w:cs="Times New Roman" w:hAnsi="Times New Roman" w:hint="eastAsia"/>
                <w:sz w:val="22"/>
                <w:lang w:val="en-US" w:eastAsia="zh-CN"/>
              </w:rPr>
              <w:t>161.39</w:t>
            </w:r>
          </w:p>
        </w:tc>
      </w:tr>
    </w:tbl>
    <w:p>
      <w:pPr>
        <w:autoSpaceDE w:val="0"/>
        <w:autoSpaceDN w:val="0"/>
        <w:adjustRightInd w:val="0"/>
        <w:spacing w:line="584" w:lineRule="exact"/>
        <w:ind w:firstLineChars="200" w:firstLine="640"/>
        <w:jc w:val="left"/>
        <w:rPr>
          <w:rFonts w:ascii="Times New Roman" w:eastAsia="黑体" w:cs="Times New Roman" w:hAnsi="Times New Roman"/>
          <w:sz w:val="32"/>
          <w:szCs w:val="32"/>
        </w:rPr>
      </w:pPr>
      <w:r>
        <w:rPr>
          <w:rFonts w:ascii="Times New Roman" w:eastAsia="黑体" w:cs="Times New Roman" w:hAnsi="Times New Roman"/>
          <w:sz w:val="32"/>
          <w:szCs w:val="32"/>
        </w:rPr>
        <w:t>八、名词解释</w:t>
      </w:r>
    </w:p>
    <w:p>
      <w:pPr>
        <w:tabs>
          <w:tab w:val="left" w:pos="11490"/>
        </w:tabs>
        <w:spacing w:line="584" w:lineRule="exact"/>
        <w:ind w:firstLineChars="200" w:firstLine="640"/>
        <w:rPr>
          <w:rFonts w:ascii="Times New Roman" w:eastAsia="仿宋_GB2312" w:cs="Times New Roman" w:hAnsi="Times New Roman"/>
          <w:sz w:val="32"/>
          <w:szCs w:val="32"/>
        </w:rPr>
      </w:pPr>
      <w:r>
        <w:rPr>
          <w:rFonts w:ascii="Times New Roman" w:eastAsia="仿宋_GB2312" w:cs="Times New Roman" w:hAnsi="Times New Roman"/>
          <w:b/>
          <w:sz w:val="32"/>
          <w:szCs w:val="32"/>
        </w:rPr>
        <w:t>1、一般公共预算拨款收入：</w:t>
      </w:r>
      <w:r>
        <w:rPr>
          <w:rFonts w:ascii="Times New Roman" w:eastAsia="仿宋_GB2312" w:cs="Times New Roman" w:hAnsi="Times New Roman"/>
          <w:sz w:val="32"/>
          <w:szCs w:val="32"/>
        </w:rPr>
        <w:t>指</w:t>
      </w:r>
      <w:r>
        <w:rPr>
          <w:rFonts w:ascii="Times New Roman" w:eastAsia="仿宋_GB2312" w:cs="Times New Roman" w:hAnsi="Times New Roman" w:hint="eastAsia"/>
          <w:sz w:val="32"/>
          <w:szCs w:val="32"/>
          <w:lang w:val="en-US" w:eastAsia="zh-CN"/>
        </w:rPr>
        <w:t>县</w:t>
      </w:r>
      <w:r>
        <w:rPr>
          <w:rFonts w:ascii="Times New Roman" w:eastAsia="仿宋_GB2312" w:cs="Times New Roman" w:hAnsi="Times New Roman"/>
          <w:sz w:val="32"/>
          <w:szCs w:val="32"/>
        </w:rPr>
        <w:t>级财政当年拨付的资金。</w:t>
      </w:r>
    </w:p>
    <w:p>
      <w:pPr>
        <w:tabs>
          <w:tab w:val="left" w:pos="11490"/>
        </w:tabs>
        <w:spacing w:line="584" w:lineRule="exact"/>
        <w:ind w:firstLineChars="200" w:firstLine="640"/>
        <w:rPr>
          <w:rFonts w:ascii="Times New Roman" w:eastAsia="仿宋_GB2312" w:cs="Times New Roman" w:hAnsi="Times New Roman"/>
          <w:sz w:val="32"/>
          <w:szCs w:val="32"/>
        </w:rPr>
      </w:pPr>
      <w:r>
        <w:rPr>
          <w:rFonts w:ascii="Times New Roman" w:eastAsia="仿宋_GB2312" w:cs="Times New Roman" w:hAnsi="Times New Roman"/>
          <w:b/>
          <w:sz w:val="32"/>
          <w:szCs w:val="32"/>
        </w:rPr>
        <w:t>2、事业收入：</w:t>
      </w:r>
      <w:r>
        <w:rPr>
          <w:rFonts w:ascii="Times New Roman" w:eastAsia="仿宋_GB2312" w:cs="Times New Roman" w:hAnsi="Times New Roman"/>
          <w:sz w:val="32"/>
          <w:szCs w:val="32"/>
        </w:rPr>
        <w:t>指事业单位开展专业业务活动及辅助活动所取得的收入。</w:t>
      </w:r>
    </w:p>
    <w:p>
      <w:pPr>
        <w:tabs>
          <w:tab w:val="left" w:pos="11490"/>
        </w:tabs>
        <w:spacing w:line="584" w:lineRule="exact"/>
        <w:ind w:firstLineChars="200" w:firstLine="640"/>
        <w:rPr>
          <w:rFonts w:ascii="Times New Roman" w:eastAsia="仿宋_GB2312" w:cs="Times New Roman" w:hAnsi="Times New Roman"/>
          <w:b/>
          <w:sz w:val="32"/>
          <w:szCs w:val="32"/>
        </w:rPr>
      </w:pPr>
      <w:r>
        <w:rPr>
          <w:rFonts w:ascii="Times New Roman" w:eastAsia="仿宋_GB2312" w:cs="Times New Roman" w:hAnsi="Times New Roman"/>
          <w:b/>
          <w:sz w:val="32"/>
          <w:szCs w:val="32"/>
        </w:rPr>
        <w:t>3、其他收入：</w:t>
      </w:r>
      <w:r>
        <w:rPr>
          <w:rFonts w:ascii="Times New Roman" w:eastAsia="仿宋_GB2312" w:cs="Times New Roman" w:hAnsi="Times New Roman"/>
          <w:sz w:val="32"/>
          <w:szCs w:val="32"/>
        </w:rPr>
        <w:t>指除“一般公共预算拨款收入”、“事业收入”等以外的收入。主要是按规定动用的租房收入、存款利息收入等。</w:t>
      </w:r>
    </w:p>
    <w:p>
      <w:pPr>
        <w:tabs>
          <w:tab w:val="left" w:pos="11490"/>
        </w:tabs>
        <w:spacing w:line="584" w:lineRule="exact"/>
        <w:ind w:firstLineChars="200" w:firstLine="640"/>
        <w:rPr>
          <w:rFonts w:ascii="Times New Roman" w:eastAsia="仿宋_GB2312" w:cs="Times New Roman" w:hAnsi="Times New Roman"/>
          <w:sz w:val="32"/>
          <w:szCs w:val="32"/>
        </w:rPr>
      </w:pPr>
      <w:r>
        <w:rPr>
          <w:rFonts w:ascii="Times New Roman" w:eastAsia="仿宋_GB2312" w:cs="Times New Roman" w:hAnsi="Times New Roman"/>
          <w:b/>
          <w:sz w:val="32"/>
          <w:szCs w:val="32"/>
        </w:rPr>
        <w:t>4、基本支出：</w:t>
      </w:r>
      <w:r>
        <w:rPr>
          <w:rFonts w:ascii="Times New Roman" w:eastAsia="仿宋_GB2312" w:cs="Times New Roman" w:hAnsi="Times New Roman"/>
          <w:sz w:val="32"/>
          <w:szCs w:val="32"/>
        </w:rPr>
        <w:t>指为保障机构正常运转、完成日常工作任务而发生的人员支出和公用支出。</w:t>
      </w:r>
    </w:p>
    <w:p>
      <w:pPr>
        <w:tabs>
          <w:tab w:val="left" w:pos="11490"/>
        </w:tabs>
        <w:spacing w:line="584" w:lineRule="exact"/>
        <w:ind w:firstLineChars="200" w:firstLine="640"/>
        <w:rPr>
          <w:rFonts w:ascii="Times New Roman" w:eastAsia="仿宋_GB2312" w:cs="Times New Roman" w:hAnsi="Times New Roman"/>
          <w:sz w:val="32"/>
          <w:szCs w:val="32"/>
        </w:rPr>
      </w:pPr>
      <w:r>
        <w:rPr>
          <w:rFonts w:ascii="Times New Roman" w:eastAsia="仿宋_GB2312" w:cs="Times New Roman" w:hAnsi="Times New Roman"/>
          <w:b/>
          <w:sz w:val="32"/>
          <w:szCs w:val="32"/>
        </w:rPr>
        <w:t>5、项目支出：</w:t>
      </w:r>
      <w:r>
        <w:rPr>
          <w:rFonts w:ascii="Times New Roman" w:eastAsia="仿宋_GB2312" w:cs="Times New Roman" w:hAnsi="Times New Roman"/>
          <w:sz w:val="32"/>
          <w:szCs w:val="32"/>
        </w:rPr>
        <w:t>指在基本支出之外为完成特定行政任务和事业发展目标所发生的支出。</w:t>
      </w:r>
    </w:p>
    <w:p>
      <w:pPr>
        <w:tabs>
          <w:tab w:val="left" w:pos="11490"/>
        </w:tabs>
        <w:spacing w:line="584" w:lineRule="exact"/>
        <w:ind w:firstLineChars="200" w:firstLine="640"/>
        <w:rPr>
          <w:rFonts w:ascii="Times New Roman" w:eastAsia="仿宋_GB2312" w:cs="Times New Roman" w:hAnsi="Times New Roman"/>
          <w:sz w:val="32"/>
          <w:szCs w:val="32"/>
        </w:rPr>
      </w:pPr>
      <w:r>
        <w:rPr>
          <w:rFonts w:ascii="Times New Roman" w:eastAsia="仿宋_GB2312" w:cs="Times New Roman" w:hAnsi="Times New Roman"/>
          <w:b/>
          <w:sz w:val="32"/>
          <w:szCs w:val="32"/>
        </w:rPr>
        <w:t>6、上缴上级支出：</w:t>
      </w:r>
      <w:r>
        <w:rPr>
          <w:rFonts w:ascii="Times New Roman" w:eastAsia="仿宋_GB2312" w:cs="Times New Roman" w:hAnsi="Times New Roman"/>
          <w:sz w:val="32"/>
          <w:szCs w:val="32"/>
        </w:rPr>
        <w:t>指下级单位上缴上级的支出。</w:t>
      </w:r>
    </w:p>
    <w:p>
      <w:pPr>
        <w:tabs>
          <w:tab w:val="left" w:pos="11490"/>
        </w:tabs>
        <w:spacing w:line="584" w:lineRule="exact"/>
        <w:ind w:firstLineChars="200" w:firstLine="640"/>
        <w:rPr>
          <w:rFonts w:ascii="Times New Roman" w:eastAsia="仿宋_GB2312" w:cs="Times New Roman" w:hAnsi="Times New Roman"/>
          <w:sz w:val="32"/>
          <w:szCs w:val="32"/>
        </w:rPr>
      </w:pPr>
      <w:r>
        <w:rPr>
          <w:rFonts w:ascii="Times New Roman" w:eastAsia="仿宋_GB2312" w:cs="Times New Roman" w:hAnsi="Times New Roman"/>
          <w:b/>
          <w:sz w:val="32"/>
          <w:szCs w:val="32"/>
        </w:rPr>
        <w:t>7、“三公”经费：</w:t>
      </w:r>
      <w:r>
        <w:rPr>
          <w:rFonts w:ascii="Times New Roman" w:eastAsia="仿宋_GB2312" w:cs="Times New Roman" w:hAnsi="Times New Roman"/>
          <w:sz w:val="32"/>
          <w:szCs w:val="32"/>
        </w:rPr>
        <w:t>纳入</w:t>
      </w:r>
      <w:r>
        <w:rPr>
          <w:rFonts w:ascii="Times New Roman" w:eastAsia="仿宋_GB2312" w:cs="Times New Roman" w:hAnsi="Times New Roman" w:hint="eastAsia"/>
          <w:sz w:val="32"/>
          <w:szCs w:val="32"/>
          <w:lang w:val="en-US" w:eastAsia="zh-CN"/>
        </w:rPr>
        <w:t>县</w:t>
      </w:r>
      <w:r>
        <w:rPr>
          <w:rFonts w:ascii="Times New Roman" w:eastAsia="仿宋_GB2312" w:cs="Times New Roman" w:hAnsi="Times New Roman"/>
          <w:sz w:val="32"/>
          <w:szCs w:val="32"/>
        </w:rPr>
        <w:t>级财政预算管理的“三公”经费，是指</w:t>
      </w:r>
      <w:r>
        <w:rPr>
          <w:rFonts w:ascii="Times New Roman" w:eastAsia="仿宋_GB2312" w:cs="Times New Roman" w:hAnsi="Times New Roman" w:hint="eastAsia"/>
          <w:sz w:val="32"/>
          <w:szCs w:val="32"/>
          <w:lang w:val="en-US" w:eastAsia="zh-CN"/>
        </w:rPr>
        <w:t>县</w:t>
      </w:r>
      <w:r>
        <w:rPr>
          <w:rFonts w:ascii="Times New Roman" w:eastAsia="仿宋_GB2312" w:cs="Times New Roman" w:hAnsi="Times New Roman"/>
          <w:sz w:val="32"/>
          <w:szCs w:val="32"/>
        </w:rPr>
        <w:t>级</w:t>
      </w:r>
      <w:r>
        <w:rPr>
          <w:rFonts w:ascii="Times New Roman" w:eastAsia="仿宋_GB2312" w:cs="Times New Roman" w:hAnsi="Times New Roman" w:hint="eastAsia"/>
          <w:sz w:val="32"/>
          <w:szCs w:val="32"/>
          <w:lang w:eastAsia="zh-CN"/>
        </w:rPr>
        <w:t>单位</w:t>
      </w:r>
      <w:r>
        <w:rPr>
          <w:rFonts w:ascii="Times New Roman" w:eastAsia="仿宋_GB2312" w:cs="Times New Roman" w:hAnsi="Times New Roman"/>
          <w:sz w:val="32"/>
          <w:szCs w:val="32"/>
        </w:rPr>
        <w:t>用财政拨款安排的因公出国（境）费、公务用车购置及运维费和公务接待费。其中，因公出国（境）费反映单位公务出国（境）的住宿费、旅费、伙食补助费、杂费、培训费等支出；公务用车购置及运维费反映单位公务用车购置费及租用费、燃料费、维修费、过路过桥费、保险费、安全奖励费用等支出；公务接待费反映单位按规定开支的各类公务接待（含外宾接待）支出。</w:t>
      </w:r>
    </w:p>
    <w:p>
      <w:pPr>
        <w:tabs>
          <w:tab w:val="left" w:pos="11490"/>
        </w:tabs>
        <w:spacing w:line="584" w:lineRule="exact"/>
        <w:ind w:firstLineChars="200" w:firstLine="640"/>
        <w:rPr>
          <w:rFonts w:ascii="Times New Roman" w:eastAsia="仿宋_GB2312" w:cs="Times New Roman" w:hAnsi="Times New Roman"/>
          <w:sz w:val="32"/>
          <w:szCs w:val="32"/>
        </w:rPr>
      </w:pPr>
      <w:r>
        <w:rPr>
          <w:rFonts w:ascii="Times New Roman" w:eastAsia="仿宋_GB2312" w:cs="Times New Roman" w:hAnsi="Times New Roman"/>
          <w:b/>
          <w:sz w:val="32"/>
          <w:szCs w:val="32"/>
        </w:rPr>
        <w:t>8、机关运行费：</w:t>
      </w:r>
      <w:r>
        <w:rPr>
          <w:rFonts w:ascii="Times New Roman" w:eastAsia="仿宋_GB2312" w:cs="Times New Roman" w:hAnsi="Times New Roman"/>
          <w:sz w:val="32"/>
          <w:szCs w:val="32"/>
        </w:rPr>
        <w:t>为保障全部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tabs>
          <w:tab w:val="left" w:pos="11490"/>
        </w:tabs>
        <w:spacing w:line="584" w:lineRule="exact"/>
        <w:ind w:firstLineChars="200" w:firstLine="640"/>
        <w:rPr>
          <w:rFonts w:ascii="Times New Roman" w:eastAsia="仿宋_GB2312" w:cs="Times New Roman" w:hAnsi="Times New Roman"/>
          <w:sz w:val="32"/>
          <w:szCs w:val="32"/>
        </w:rPr>
      </w:pPr>
      <w:r>
        <w:rPr>
          <w:rFonts w:ascii="Times New Roman" w:eastAsia="仿宋_GB2312" w:cs="Times New Roman" w:hAnsi="Times New Roman"/>
          <w:b/>
          <w:sz w:val="32"/>
          <w:szCs w:val="32"/>
        </w:rPr>
        <w:t>9、上年结转：</w:t>
      </w:r>
      <w:r>
        <w:rPr>
          <w:rFonts w:ascii="Times New Roman" w:eastAsia="仿宋_GB2312" w:cs="Times New Roman" w:hAnsi="Times New Roman"/>
          <w:sz w:val="32"/>
          <w:szCs w:val="32"/>
        </w:rPr>
        <w:t>指以前年度尚未完成、结转到本年仍按原规定用途继续使用的资金。</w:t>
      </w:r>
    </w:p>
    <w:p>
      <w:pPr>
        <w:tabs>
          <w:tab w:val="left" w:pos="11490"/>
        </w:tabs>
        <w:spacing w:line="584" w:lineRule="exact"/>
        <w:ind w:firstLineChars="200" w:firstLine="640"/>
        <w:rPr>
          <w:rFonts w:ascii="Times New Roman" w:eastAsia="仿宋_GB2312" w:cs="Times New Roman" w:hAnsi="Times New Roman"/>
          <w:sz w:val="32"/>
          <w:szCs w:val="32"/>
        </w:rPr>
      </w:pPr>
      <w:r>
        <w:rPr>
          <w:rFonts w:ascii="Times New Roman" w:eastAsia="仿宋_GB2312" w:cs="Times New Roman" w:hAnsi="Times New Roman"/>
          <w:b/>
          <w:sz w:val="32"/>
          <w:szCs w:val="32"/>
        </w:rPr>
        <w:t>10、事业单位经营支出：</w:t>
      </w:r>
      <w:r>
        <w:rPr>
          <w:rFonts w:ascii="Times New Roman" w:eastAsia="仿宋_GB2312" w:cs="Times New Roman" w:hAnsi="Times New Roman"/>
          <w:sz w:val="32"/>
          <w:szCs w:val="32"/>
        </w:rPr>
        <w:t>指事业单位在专业业务活动及其辅助活动之外开展非独立核算经营活动发生的支出。</w:t>
      </w:r>
    </w:p>
    <w:p>
      <w:pPr>
        <w:autoSpaceDE w:val="0"/>
        <w:autoSpaceDN w:val="0"/>
        <w:adjustRightInd w:val="0"/>
        <w:spacing w:line="584" w:lineRule="exact"/>
        <w:ind w:firstLineChars="200" w:firstLine="640"/>
        <w:jc w:val="left"/>
        <w:rPr>
          <w:rFonts w:ascii="Times New Roman" w:eastAsia="黑体" w:cs="Times New Roman" w:hAnsi="Times New Roman"/>
          <w:sz w:val="32"/>
          <w:szCs w:val="32"/>
        </w:rPr>
      </w:pPr>
      <w:r>
        <w:rPr>
          <w:rFonts w:ascii="Times New Roman" w:eastAsia="黑体" w:cs="Times New Roman" w:hAnsi="Times New Roman"/>
          <w:sz w:val="32"/>
          <w:szCs w:val="32"/>
        </w:rPr>
        <w:t>九、其他需要说明的事项</w:t>
      </w:r>
    </w:p>
    <w:p>
      <w:pPr>
        <w:spacing w:line="584" w:lineRule="exact"/>
        <w:ind w:firstLineChars="200" w:firstLine="640"/>
        <w:rPr>
          <w:rFonts w:ascii="Times New Roman" w:eastAsia="仿宋_GB2312" w:cs="Times New Roman" w:hAnsi="Times New Roman" w:hint="eastAsia"/>
          <w:sz w:val="32"/>
          <w:szCs w:val="32"/>
        </w:rPr>
      </w:pPr>
      <w:r>
        <w:rPr>
          <w:rFonts w:ascii="Times New Roman" w:eastAsia="仿宋_GB2312" w:cs="Times New Roman" w:hAnsi="Times New Roman"/>
          <w:sz w:val="32"/>
          <w:szCs w:val="32"/>
        </w:rPr>
        <w:t>我</w:t>
      </w:r>
      <w:r>
        <w:rPr>
          <w:rFonts w:ascii="Times New Roman" w:eastAsia="仿宋_GB2312" w:cs="Times New Roman" w:hAnsi="Times New Roman" w:hint="eastAsia"/>
          <w:sz w:val="32"/>
          <w:szCs w:val="32"/>
          <w:lang w:eastAsia="zh-CN"/>
        </w:rPr>
        <w:t>单位</w:t>
      </w:r>
      <w:r>
        <w:rPr>
          <w:rFonts w:ascii="Times New Roman" w:eastAsia="仿宋_GB2312" w:cs="Times New Roman" w:hAnsi="Times New Roman"/>
          <w:sz w:val="32"/>
          <w:szCs w:val="32"/>
        </w:rPr>
        <w:t>无其他需要说明的事项。</w:t>
      </w:r>
    </w:p>
    <w:p>
      <w:pPr>
        <w:spacing w:line="584" w:lineRule="exact"/>
        <w:ind w:firstLineChars="200" w:firstLine="640"/>
        <w:rPr>
          <w:rFonts w:ascii="Times New Roman" w:eastAsia="仿宋_GB2312" w:cs="Times New Roman" w:hAnsi="Times New Roman" w:hint="eastAsia"/>
          <w:sz w:val="32"/>
          <w:szCs w:val="32"/>
        </w:rPr>
      </w:pPr>
    </w:p>
    <w:p>
      <w:pPr>
        <w:spacing w:line="584" w:lineRule="exact"/>
        <w:ind w:firstLineChars="200" w:firstLine="640"/>
        <w:rPr>
          <w:rFonts w:ascii="Times New Roman" w:eastAsia="仿宋_GB2312" w:cs="Times New Roman" w:hAnsi="Times New Roman" w:hint="eastAsia"/>
          <w:sz w:val="32"/>
          <w:szCs w:val="32"/>
        </w:rPr>
      </w:pPr>
    </w:p>
    <w:p>
      <w:pPr>
        <w:spacing w:line="584" w:lineRule="exact"/>
        <w:ind w:firstLineChars="200" w:firstLine="640"/>
        <w:rPr>
          <w:rFonts w:ascii="Times New Roman" w:eastAsia="仿宋_GB2312" w:cs="Times New Roman" w:hAnsi="Times New Roman"/>
          <w:sz w:val="32"/>
          <w:szCs w:val="32"/>
        </w:rPr>
      </w:pPr>
    </w:p>
    <w:sectPr>
      <w:pgSz w:w="16838" w:h="11906" w:orient="landscape"/>
      <w:pgMar w:top="1800" w:right="1440" w:bottom="1800" w:left="1440" w:header="851" w:footer="992" w:gutter="0"/>
      <w:cols w:num="1" w:space="720"/>
      <w:titlePg/>
      <w:docGrid w:type="lines" w:linePitch="312" w:charSpace="0"/>
    </w:sectPr>
  </w:body>
</w:document>
</file>

<file path=word/fontTable.xml><?xml version="1.0" encoding="utf-8"?>
<w:fonts xmlns:w="http://schemas.openxmlformats.org/wordprocessingml/2006/main" xmlns:r="http://schemas.openxmlformats.org/officeDocument/2006/relationships">
  <w:font w:name="Times New Roman">
    <w:altName w:val="方正黑体_GBK"/>
    <w:panose1 w:val="02020603050405020304"/>
    <w:charset w:val="86"/>
    <w:family w:val="auto"/>
    <w:pitch w:val="variable"/>
    <w:sig w:usb0="E0002EFF" w:usb1="C000785B" w:usb2="00000009" w:usb3="00000000" w:csb0="400001FF" w:csb1="FFFF0000"/>
  </w:font>
  <w:font w:name="仿宋_GB2312">
    <w:altName w:val="方正仿宋_GBK"/>
    <w:panose1 w:val="02010609030101010101"/>
    <w:charset w:val="86"/>
    <w:family w:val="modern"/>
    <w:pitch w:val="variable"/>
    <w:sig w:usb0="00000000" w:usb1="00000000" w:usb2="00000010" w:usb3="00000000" w:csb0="00040000" w:csb1="00000000"/>
  </w:font>
  <w:font w:name="方正小标宋简体">
    <w:altName w:val="黑体"/>
    <w:panose1 w:val="02010601030101010101"/>
    <w:charset w:val="86"/>
    <w:family w:val="auto"/>
    <w:pitch w:val="variable"/>
    <w:sig w:usb0="00000000" w:usb1="00000000" w:usb2="00000010" w:usb3="00000000" w:csb0="00040000" w:csb1="00000000"/>
  </w:font>
  <w:font w:name="黑体">
    <w:altName w:val="方正黑体_GBK"/>
    <w:panose1 w:val="02010609060101010101"/>
    <w:charset w:val="86"/>
    <w:family w:val="auto"/>
    <w:pitch w:val="variable"/>
    <w:sig w:usb0="800002BF" w:usb1="38CF7CFA" w:usb2="00000016" w:usb3="00000000" w:csb0="00040001" w:csb1="00000000"/>
  </w:font>
  <w:font w:name="楷体_GB2312">
    <w:altName w:val="方正楷体_GBK"/>
    <w:panose1 w:val="02010609030101010101"/>
    <w:charset w:val="86"/>
    <w:family w:val="modern"/>
    <w:pitch w:val="variable"/>
    <w:sig w:usb0="00000000" w:usb1="00000000" w:usb2="00000010" w:usb3="00000000" w:csb0="00040000" w:csb1="00000000"/>
  </w:font>
  <w:font w:name="方正仿宋_GBK">
    <w:altName w:val="宋体"/>
    <w:panose1 w:val="00000000000000000000"/>
    <w:charset w:val="86"/>
    <w:family w:val="roman"/>
    <w:pitch w:val="variable"/>
    <w:sig w:usb0="00000000" w:usb1="00000000" w:usb2="00000000" w:usb3="00000000" w:csb0="00000000" w:csb1="00000000"/>
  </w:font>
  <w:font w:name="宋体">
    <w:altName w:val="华文中宋"/>
    <w:panose1 w:val="02010600030101010101"/>
    <w:charset w:val="50"/>
    <w:family w:val="auto"/>
    <w:pitch w:val="variable"/>
    <w:sig w:usb0="00000003" w:usb1="288F0000" w:usb2="00000006" w:usb3="00000000" w:csb0="00040001" w:csb1="00000000"/>
  </w:font>
  <w:font w:name="Microsoft Sans Serif">
    <w:altName w:val="DejaVu Sans"/>
    <w:panose1 w:val="020B0604020202020204"/>
    <w:charset w:val="00"/>
    <w:family w:val="swiss"/>
    <w:pitch w:val="variable"/>
    <w:sig w:usb0="E5002EFF" w:usb1="C000605B" w:usb2="00000029" w:usb3="00000000" w:csb0="200101FF" w:csb1="20280000"/>
  </w:font>
  <w:font w:name="方正小标宋_GBK">
    <w:altName w:val="SimSun-ExtB"/>
    <w:panose1 w:val="00000000000000000000"/>
    <w:charset w:val="86"/>
    <w:family w:val="script"/>
    <w:pitch w:val="variable"/>
    <w:sig w:usb0="00000000" w:usb1="00000000" w:usb2="00000000" w:usb3="00000000" w:csb0="00040000" w:csb1="00000000"/>
  </w:font>
  <w:font w:name="方正书宋_GBK">
    <w:altName w:val="微软雅黑"/>
    <w:panose1 w:val="00000000000000000000"/>
    <w:charset w:val="86"/>
    <w:family w:val="script"/>
    <w:pitch w:val="variable"/>
    <w:sig w:usb0="00000000" w:usb1="00000000" w:usb2="00000010" w:usb3="00000000" w:csb0="00040000" w:csb1="00000000"/>
  </w:font>
  <w:font w:name="Lucida Sans">
    <w:panose1 w:val="020B0602030504020204"/>
    <w:charset w:val="00"/>
    <w:family w:val="auto"/>
    <w:pitch w:val="variable"/>
    <w:sig w:usb0="00000003" w:usb1="00000000" w:usb2="00000000" w:usb3="00000000" w:csb0="20000001" w:csb1="00000000"/>
  </w:font>
  <w:font w:name="Calibri">
    <w:altName w:val="DejaVu Sans"/>
    <w:panose1 w:val="020F0502020204030204"/>
    <w:charset w:val="00"/>
    <w:family w:val="swiss"/>
    <w:pitch w:val="variable"/>
    <w:sig w:usb0="E4002EFF" w:usb1="C000247B" w:usb2="00000009" w:usb3="00000000" w:csb0="200001FF" w:csb1="00000000"/>
  </w:font>
  <w:font w:name="Arial">
    <w:altName w:val="DejaVu Sans"/>
    <w:panose1 w:val="020B0604020202020204"/>
    <w:charset w:val="01"/>
    <w:family w:val="swiss"/>
    <w:pitch w:val="variable"/>
    <w:sig w:usb0="E0002EFF" w:usb1="C000785B" w:usb2="00000009" w:usb3="00000000" w:csb0="400001FF" w:csb1="FFFF0000"/>
  </w:font>
  <w:font w:name="方正兰亭黑_GBK">
    <w:panose1 w:val="02000000000000000000"/>
    <w:charset w:val="86"/>
    <w:family w:val="script"/>
    <w:pitch w:val="variable"/>
    <w:sig w:usb0="A00002BF" w:usb1="3ACF7CFA" w:usb2="00080016" w:usb3="00000000" w:csb0="00040001" w:csb1="00000000"/>
  </w:font>
  <w:font w:name="Courier New">
    <w:altName w:val="DejaVu Sans"/>
    <w:panose1 w:val="02070309020205020404"/>
    <w:charset w:val="01"/>
    <w:family w:val="modern"/>
    <w:pitch w:val="variable"/>
    <w:sig w:usb0="E0002EFF" w:usb1="C0007843" w:usb2="00000009" w:usb3="00000000" w:csb0="400001FF" w:csb1="FFFF0000"/>
  </w:font>
</w:fonts>
</file>

<file path=word/footer1.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wp14="http://schemas.microsoft.com/office/word/2010/wordprocessingDrawing"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w15="http://schemas.microsoft.com/office/word/2012/wordml" xmlns:a14="http://schemas.microsoft.com/office/drawing/2010/main" mc:Ignorable="w14 w15">
  <w:p>
    <w:pPr>
      <w:pStyle w:val="17"/>
      <w:tabs>
        <w:tab w:val="center" w:pos="4153"/>
        <w:tab w:val="right" w:pos="8306"/>
      </w:tabs>
      <w:jc w:val="center"/>
    </w:pPr>
    <w:r>
      <w:rPr>
        <w:rFonts w:hint="eastAsia"/>
      </w:rPr>
      <w:t>-</w:t>
    </w:r>
    <w:r>
      <w:fldChar w:fldCharType="begin"/>
    </w:r>
    <w:r>
      <w:instrText>PAGE   \* MERGEFORMAT</w:instrText>
    </w:r>
    <w:r>
      <w:fldChar w:fldCharType="separate"/>
    </w:r>
    <w:r>
      <w:rPr>
        <w:lang w:val="zh-CN"/>
      </w:rPr>
      <w:t>21</w:t>
    </w:r>
    <w:r>
      <w:rPr>
        <w:lang w:val="zh-CN"/>
      </w:rPr>
      <w:fldChar w:fldCharType="end"/>
    </w:r>
    <w:r>
      <w:rPr>
        <w:rFonts w:hint="eastAsia"/>
      </w:rPr>
      <w:t>-</w:t>
    </w:r>
  </w:p>
  <w:p>
    <w:pPr>
      <w:pStyle w:val="17"/>
      <w:tabs>
        <w:tab w:val="center" w:pos="4153"/>
        <w:tab w:val="right" w:pos="8306"/>
      </w:tabs>
    </w:pPr>
  </w:p>
</w:ftr>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zoom w:val="fullPage" w:percent="99"/>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compatSetting w:name="compatibilityMode" w:uri="http://schemas.microsoft.com/office/word" w:val="12"/>
  </w:compat>
  <w:docVars>
    <w:docVar w:name="commondata" w:val="eyJoZGlkIjoiYzgxMzliZjMxOWY3ZmYwZDYwYjdiYTY2YzliNDM0ZWQifQ=="/>
  </w:docVars>
  <m:mathPr>
    <m:mathFont m:val="Cambria Math"/>
    <m:brkBin m:val="before"/>
    <m:brkBinSub m:val="--"/>
    <m:smallFrac m:val="0"/>
    <m:dispDef/>
    <m:lMargin m:val="0"/>
    <m:rMargin m:val="0"/>
    <m:defJc m:val="centerGroup"/>
    <m:wrapIndent m:val="1440"/>
    <m:intLim m:val="subSup"/>
    <m:naryLim m:val="undOvr"/>
  </m:mathPr>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Lucida Sans"/>
        <w:lang w:val="en-US" w:eastAsia="zh-CN" w:bidi="ar-SA"/>
      </w:rPr>
    </w:rPrDefault>
    <w:pPrDefault/>
  </w:docDefaults>
  <w:style w:type="paragraph" w:default="1" w:styleId="0">
    <w:name w:val="Normal"/>
    <w:qFormat/>
    <w:next w:val="15"/>
    <w:pPr>
      <w:widowControl w:val="0"/>
      <w:jc w:val="both"/>
    </w:pPr>
    <w:rPr>
      <w:rFonts w:ascii="Calibri" w:eastAsia="宋体" w:cs="Arial" w:hAnsi="Calibri"/>
      <w:kern w:val="2"/>
      <w:sz w:val="21"/>
      <w:szCs w:val="22"/>
      <w:lang w:val="en-US" w:eastAsia="zh-CN" w:bidi="ar-SA"/>
    </w:rPr>
  </w:style>
  <w:style w:type="paragraph" w:styleId="1">
    <w:name w:val="heading 1"/>
    <w:qFormat/>
    <w:basedOn w:val="0"/>
    <w:next w:val="0"/>
    <w:link w:val="1Char"/>
    <w:pPr>
      <w:keepNext/>
      <w:keepLines/>
      <w:spacing w:before="340" w:after="330" w:line="578" w:lineRule="auto"/>
      <w:outlineLvl w:val="0"/>
    </w:pPr>
    <w:rPr>
      <w:b/>
      <w:bCs/>
      <w:kern w:val="44"/>
      <w:sz w:val="44"/>
      <w:szCs w:val="44"/>
    </w:rPr>
  </w:style>
  <w:style w:type="character" w:customStyle="1" w:styleId="1Char">
    <w:name w:val="heading 1 Char"/>
    <w:basedOn w:val="10"/>
    <w:link w:val="1"/>
    <w:rPr>
      <w:rFonts w:ascii="Calibri" w:eastAsia="宋体" w:cs="Arial" w:hAnsi="Calibri"/>
      <w:b/>
      <w:bCs/>
      <w:kern w:val="44"/>
      <w:sz w:val="44"/>
      <w:szCs w:val="44"/>
      <w:lang w:val="en-US" w:eastAsia="zh-CN" w:bidi="ar-SA"/>
    </w:rPr>
  </w:style>
  <w:style w:type="paragraph" w:styleId="2">
    <w:name w:val="heading 2"/>
    <w:qFormat/>
    <w:basedOn w:val="0"/>
    <w:next w:val="0"/>
    <w:link w:val="2Char"/>
    <w:pPr>
      <w:keepNext/>
      <w:keepLines/>
      <w:spacing w:before="260" w:after="260" w:line="415" w:lineRule="auto"/>
      <w:outlineLvl w:val="1"/>
    </w:pPr>
    <w:rPr>
      <w:rFonts w:ascii="方正兰亭黑_GBK" w:eastAsia="黑体" w:hAnsi="方正兰亭黑_GBK"/>
      <w:b/>
      <w:bCs/>
      <w:sz w:val="32"/>
      <w:szCs w:val="32"/>
    </w:rPr>
  </w:style>
  <w:style w:type="character" w:customStyle="1" w:styleId="2Char">
    <w:name w:val="heading 2 Char"/>
    <w:basedOn w:val="10"/>
    <w:link w:val="2"/>
    <w:rPr>
      <w:rFonts w:ascii="方正兰亭黑_GBK" w:eastAsia="黑体" w:cs="Arial" w:hAnsi="Calibri"/>
      <w:b/>
      <w:bCs/>
      <w:kern w:val="2"/>
      <w:sz w:val="32"/>
      <w:szCs w:val="32"/>
      <w:lang w:val="en-US" w:eastAsia="zh-CN" w:bidi="ar-SA"/>
    </w:rPr>
  </w:style>
  <w:style w:type="paragraph" w:styleId="3">
    <w:name w:val="heading 3"/>
    <w:qFormat/>
    <w:basedOn w:val="0"/>
    <w:next w:val="0"/>
    <w:link w:val="3Char"/>
    <w:pPr>
      <w:keepNext/>
      <w:keepLines/>
      <w:spacing w:before="260" w:after="260" w:line="415" w:lineRule="auto"/>
      <w:outlineLvl w:val="2"/>
    </w:pPr>
    <w:rPr>
      <w:b/>
      <w:bCs/>
      <w:sz w:val="32"/>
      <w:szCs w:val="32"/>
    </w:rPr>
  </w:style>
  <w:style w:type="character" w:customStyle="1" w:styleId="3Char">
    <w:name w:val="heading 3 Char"/>
    <w:basedOn w:val="10"/>
    <w:link w:val="3"/>
    <w:rPr>
      <w:rFonts w:ascii="Calibri" w:eastAsia="宋体" w:cs="Arial" w:hAnsi="Calibri"/>
      <w:b/>
      <w:bCs/>
      <w:kern w:val="2"/>
      <w:sz w:val="32"/>
      <w:szCs w:val="32"/>
      <w:lang w:val="en-US" w:eastAsia="zh-CN" w:bidi="ar-SA"/>
    </w:rPr>
  </w:style>
  <w:style w:type="character" w:default="1" w:styleId="10">
    <w:name w:val="Default Paragraph Font"/>
    <w:qFormat/>
  </w:style>
  <w:style w:type="paragraph" w:styleId="15">
    <w:name w:val="Plain Text"/>
    <w:qFormat/>
    <w:basedOn w:val="0"/>
    <w:rPr>
      <w:rFonts w:ascii="宋体" w:eastAsia="宋体" w:cs="Courier New" w:hAnsi="Courier New"/>
      <w:sz w:val="24"/>
      <w:szCs w:val="21"/>
    </w:rPr>
  </w:style>
  <w:style w:type="paragraph" w:styleId="16">
    <w:name w:val="Balloon Text"/>
    <w:qFormat/>
    <w:basedOn w:val="0"/>
    <w:rPr>
      <w:sz w:val="18"/>
      <w:szCs w:val="18"/>
    </w:rPr>
  </w:style>
  <w:style w:type="paragraph" w:styleId="17">
    <w:name w:val="footer"/>
    <w:qFormat/>
    <w:basedOn w:val="0"/>
    <w:pPr>
      <w:tabs>
        <w:tab w:val="center" w:pos="4153"/>
        <w:tab w:val="right" w:pos="8306"/>
      </w:tabs>
      <w:snapToGrid w:val="0"/>
      <w:jc w:val="left"/>
    </w:pPr>
    <w:rPr>
      <w:rFonts w:ascii="Times New Roman" w:cs="Times New Roman" w:hAnsi="Times New Roman"/>
      <w:sz w:val="18"/>
      <w:szCs w:val="18"/>
    </w:rPr>
  </w:style>
  <w:style w:type="paragraph" w:styleId="18">
    <w:name w:val="header"/>
    <w:qFormat/>
    <w:basedOn w:val="0"/>
    <w:pPr>
      <w:pBdr>
        <w:bottom w:val="single" w:sz="6" w:space="1" w:color="auto"/>
      </w:pBdr>
      <w:tabs>
        <w:tab w:val="center" w:pos="4153"/>
        <w:tab w:val="right" w:pos="8306"/>
      </w:tabs>
      <w:snapToGrid w:val="0"/>
      <w:jc w:val="center"/>
    </w:pPr>
    <w:rPr>
      <w:rFonts w:ascii="Times New Roman" w:cs="Times New Roman" w:hAnsi="Times New Roman"/>
      <w:sz w:val="18"/>
      <w:szCs w:val="18"/>
    </w:rPr>
  </w:style>
  <w:style w:type="paragraph" w:styleId="19">
    <w:name w:val="toc 1"/>
    <w:qFormat/>
    <w:basedOn w:val="0"/>
    <w:next w:val="0"/>
    <w:rPr>
      <w:rFonts w:ascii="Times New Roman" w:cs="Times New Roman" w:hAnsi="Times New Roman"/>
      <w:szCs w:val="24"/>
    </w:rPr>
  </w:style>
  <w:style w:type="paragraph" w:styleId="20">
    <w:name w:val="footnote text"/>
    <w:qFormat/>
    <w:basedOn w:val="0"/>
    <w:pPr>
      <w:snapToGrid w:val="0"/>
      <w:jc w:val="left"/>
    </w:pPr>
    <w:rPr>
      <w:rFonts w:cs="Times New Roman"/>
      <w:sz w:val="18"/>
      <w:szCs w:val="18"/>
    </w:rPr>
  </w:style>
  <w:style w:type="paragraph" w:styleId="21">
    <w:name w:val="toc 2"/>
    <w:qFormat/>
    <w:basedOn w:val="0"/>
    <w:next w:val="0"/>
    <w:pPr>
      <w:ind w:leftChars="200" w:left="200"/>
    </w:pPr>
    <w:rPr>
      <w:rFonts w:ascii="Times New Roman" w:cs="Times New Roman" w:hAnsi="Times New Roman"/>
      <w:szCs w:val="24"/>
    </w:rPr>
  </w:style>
  <w:style w:type="character" w:styleId="22">
    <w:name w:val="footnote reference"/>
    <w:qFormat/>
    <w:rPr>
      <w:vertAlign w:val="superscript"/>
    </w:rPr>
  </w:style>
  <w:style w:type="paragraph" w:customStyle="1" w:styleId="23">
    <w:name w:val="Default"/>
    <w:qFormat/>
    <w:pPr>
      <w:widowControl w:val="0"/>
      <w:autoSpaceDE w:val="0"/>
      <w:autoSpaceDN w:val="0"/>
      <w:adjustRightInd w:val="0"/>
    </w:pPr>
    <w:rPr>
      <w:rFonts w:ascii="Times New Roman" w:eastAsia="宋体" w:cs="Times New Roman" w:hAnsi="Times New Roman"/>
      <w:color w:val="000000"/>
      <w:sz w:val="24"/>
      <w:szCs w:val="24"/>
      <w:lang w:val="en-US" w:eastAsia="zh-CN" w:bidi="ar-SA"/>
    </w:rPr>
  </w:style>
  <w:style w:type="paragraph" w:customStyle="1" w:styleId="24">
    <w:name w:val="单元格样式5"/>
    <w:qFormat/>
    <w:basedOn w:val="0"/>
    <w:rPr>
      <w:rFonts w:ascii="方正书宋_GBK" w:eastAsia="方正书宋_GBK" w:cs="方正书宋_GBK" w:hAnsi="方正书宋_GBK"/>
      <w:b/>
      <w:sz w:val="21"/>
    </w:rPr>
  </w:style>
  <w:style w:type="paragraph" w:customStyle="1" w:styleId="25">
    <w:name w:val="单元格样式4"/>
    <w:qFormat/>
    <w:basedOn w:val="0"/>
    <w:pPr>
      <w:jc w:val="right"/>
    </w:pPr>
    <w:rPr>
      <w:rFonts w:ascii="方正书宋_GBK" w:eastAsia="方正书宋_GBK" w:cs="方正书宋_GBK" w:hAnsi="方正书宋_GBK"/>
      <w:sz w:val="21"/>
    </w:rPr>
  </w:style>
  <w:style w:type="paragraph" w:customStyle="1" w:styleId="26">
    <w:name w:val="单元格样式1"/>
    <w:qFormat/>
    <w:basedOn w:val="0"/>
    <w:pPr>
      <w:jc w:val="center"/>
    </w:pPr>
    <w:rPr>
      <w:rFonts w:ascii="方正书宋_GBK" w:eastAsia="方正书宋_GBK" w:cs="方正书宋_GBK" w:hAnsi="方正书宋_GBK"/>
      <w:b/>
      <w:sz w:val="21"/>
    </w:rPr>
  </w:style>
  <w:style w:type="paragraph" w:customStyle="1" w:styleId="27">
    <w:name w:val="单元格样式2"/>
    <w:qFormat/>
    <w:basedOn w:val="0"/>
    <w:rPr>
      <w:rFonts w:ascii="方正书宋_GBK" w:eastAsia="方正书宋_GBK" w:cs="方正书宋_GBK" w:hAnsi="方正书宋_GBK"/>
      <w:sz w:val="21"/>
    </w:rPr>
  </w:style>
  <w:style w:type="paragraph" w:customStyle="1" w:styleId="28">
    <w:name w:val="单元格样式3"/>
    <w:qFormat/>
    <w:basedOn w:val="0"/>
    <w:pPr>
      <w:jc w:val="center"/>
    </w:pPr>
    <w:rPr>
      <w:rFonts w:ascii="方正书宋_GBK" w:eastAsia="方正书宋_GBK" w:cs="方正书宋_GBK" w:hAnsi="方正书宋_GBK"/>
      <w:sz w:val="21"/>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oter" Target="footer1.xml"/><Relationship Id="rId3" Type="http://schemas.openxmlformats.org/officeDocument/2006/relationships/styles" Target="styles.xml"/><Relationship Id="rId4" Type="http://schemas.openxmlformats.org/officeDocument/2006/relationships/fontTable" Target="fontTable.xml"/><Relationship Id="rId5" Type="http://schemas.openxmlformats.org/officeDocument/2006/relationships/customXml" Target="../customXml/item1.xml"/><Relationship Id="rId6" Type="http://schemas.openxmlformats.org/officeDocument/2006/relationships/theme" Target="theme/theme1.xml"/></Relationships>
</file>

<file path=word/theme/theme1.xml><?xml version="1.0" encoding="utf-8"?>
<a:theme xmlns:a="http://schemas.openxmlformats.org/drawingml/2006/main" name="Office 主题">
  <a:themeElements>
    <a:clrScheme name="Office 主题">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主题">
      <a:majorFont>
        <a:latin typeface=""/>
        <a:ea typeface=""/>
        <a:cs typeface=""/>
      </a:majorFont>
      <a:minorFont>
        <a:latin typeface=""/>
        <a:ea typeface=""/>
        <a:cs typeface=""/>
      </a:minorFont>
    </a:fontScheme>
    <a:fmtScheme name="Office 主题">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1"/>
        </a:gradFill>
      </a:fillStyleLst>
      <a:lnStyleLst>
        <a:ln w="9525" cmpd="sng" cap="flat">
          <a:solidFill>
            <a:schemeClr val="phClr">
              <a:shade val="95000"/>
              <a:satMod val="105000"/>
            </a:schemeClr>
          </a:solidFill>
          <a:prstDash val="solid"/>
          <a:round/>
        </a:ln>
        <a:ln w="25400" cmpd="sng" cap="flat">
          <a:solidFill>
            <a:schemeClr val="phClr"/>
          </a:solidFill>
          <a:prstDash val="solid"/>
          <a:round/>
        </a:ln>
        <a:ln w="38100" cmpd="sng" cap="flat">
          <a:solidFill>
            <a:schemeClr val="phClr"/>
          </a:solidFill>
          <a:prstDash val="solid"/>
          <a:round/>
        </a:ln>
      </a:lnStyleLst>
      <a:effectStyleLst>
        <a:effectStyle>
          <a:effectLst>
            <a:outerShdw sx="100000" sy="100000" algn="b" rotWithShape="0" blurRad="40000" dist="20000" dir="5400000">
              <a:srgbClr val="000000">
                <a:alpha val="37647"/>
              </a:srgbClr>
            </a:outerShdw>
          </a:effectLst>
        </a:effectStyle>
        <a:effectStyle>
          <a:effectLst>
            <a:outerShdw sx="100000" sy="100000" algn="b" rotWithShape="0" blurRad="40000" dist="23000" dir="5400000">
              <a:srgbClr val="000000">
                <a:alpha val="34509"/>
              </a:srgbClr>
            </a:outerShdw>
          </a:effectLst>
        </a:effectStyle>
        <a:effectStyle>
          <a:effectLst>
            <a:outerShdw sx="100000" sy="100000" algn="b" rotWithShape="0" blurRad="40000" dist="23000" dir="5400000">
              <a:srgbClr val="000000">
                <a:alpha val="34509"/>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100000" t="100000"/>
          </a:path>
          <a:tileRect r="-100000" b="-100000"/>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ustomData xmlns="http://www.yozosoft.com.cn/officeDocument/2016/customData">
  <customProps>
    <docPr revisions="3 0 5 0 0 0 1 0 0 0 3000 0 1 1 1 1"/>
    <sectPr/>
    <sectPr/>
    <sectPr/>
    <sectPr/>
    <sectPr/>
    <sectPr/>
    <sectPr/>
    <sectPr/>
    <sectPr/>
    <sectPr/>
    <sectPr/>
    <sectPr/>
    <sectPr/>
    <sectPr/>
    <sectPr/>
    <sectPr/>
    <sectPr/>
    <sectPr/>
    <sectPr/>
    <sectPr/>
    <sectPr/>
    <sectPr/>
    <sectPr/>
    <sectPr/>
    <sectPr/>
    <sectPr/>
    <sectPr/>
  </customProps>
</customData>
</file>

<file path=customXml/itemProps1.xml><?xml version="1.0" encoding="utf-8"?>
<ds:datastoreItem xmlns:ds="http://schemas.openxmlformats.org/officeDocument/2006/customXml" ds:itemID="{62A6168B-15BA-4ACB-8F15-F08E94FD1ADF}">
  <ds:schemaRefs>
    <ds:schemaRef ds:uri="http://www.yozosoft.com.cn/officeDocument/2016/customData"/>
  </ds:schemaRefs>
</ds:datastoreItem>
</file>

<file path=docProps/app.xml><?xml version="1.0" encoding="utf-8"?>
<Properties xmlns="http://schemas.openxmlformats.org/officeDocument/2006/extended-properties">
  <Template>Normal.eit</Template>
  <TotalTime>0</TotalTime>
  <Application>WPS_Yozo_Office9.0.5233.191ZH.S1</Application>
  <Pages>40</Pages>
  <Words>0</Words>
  <Characters>17226</Characters>
  <Lines>0</Lines>
  <Paragraphs>254</Paragraphs>
  <CharactersWithSpaces>22969</CharactersWithSpaces>
  <Company>Microsoft</Company>
</Properties>
</file>

<file path=docProps/core.xml><?xml version="1.0" encoding="utf-8"?>
<cp:coreProperties xmlns:cp="http://schemas.openxmlformats.org/package/2006/metadata/core-properties" xmlns:dc="http://purl.org/dc/elements/1.1/" xmlns:dcterms="http://purl.org/dc/terms/" xmlns:xsi="http://www.w3.org/2001/XMLSchema-instance">
  <dc:creator>guest</dc:creator>
  <cp:lastModifiedBy>uos05</cp:lastModifiedBy>
  <cp:revision>103</cp:revision>
  <cp:lastPrinted>2018-01-30T06:12:00Z</cp:lastPrinted>
  <dcterms:created xsi:type="dcterms:W3CDTF">2020-01-13T03:27:00Z</dcterms:created>
  <dcterms:modified xsi:type="dcterms:W3CDTF">2024-10-29T03:00:01Z</dcterms:modifi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KSOProductBuildVer">
    <vt:lpwstr>2052-11.1.0.14309</vt:lpwstr>
  </property>
  <property fmtid="{D5CDD505-2E9C-101B-9397-08002B2CF9AE}" pid="3" name="ICV">
    <vt:lpwstr>582FBBDE0EFA45739507D2404AA054A5</vt:lpwstr>
  </property>
</Properties>
</file>