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永清县消防救援大队</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w:t>
      </w:r>
      <w:r>
        <w:rPr>
          <w:rFonts w:hint="eastAsia" w:ascii="Times New Roman" w:hAnsi="Times New Roman" w:eastAsia="仿宋_GB2312" w:cs="Times New Roman"/>
          <w:sz w:val="32"/>
          <w:szCs w:val="32"/>
          <w:lang w:val="en-US" w:eastAsia="zh-CN"/>
        </w:rPr>
        <w:t>将永清县消防救援大队</w:t>
      </w: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hint="eastAsia" w:ascii="Times New Roman" w:hAnsi="Times New Roman" w:eastAsia="仿宋_GB2312" w:cs="Times New Roman"/>
          <w:b/>
          <w:sz w:val="32"/>
          <w:szCs w:val="24"/>
        </w:rPr>
      </w:pPr>
    </w:p>
    <w:p>
      <w:pPr>
        <w:spacing w:line="584" w:lineRule="exact"/>
        <w:jc w:val="center"/>
        <w:outlineLvl w:val="0"/>
        <w:rPr>
          <w:rFonts w:hint="eastAsia"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p>
      <w:pPr>
        <w:spacing w:line="584" w:lineRule="exact"/>
        <w:jc w:val="center"/>
        <w:outlineLvl w:val="0"/>
        <w:rPr>
          <w:rFonts w:hint="eastAsia" w:ascii="Times New Roman" w:hAnsi="Times New Roman" w:eastAsia="仿宋_GB2312" w:cs="Times New Roman"/>
          <w:b/>
          <w:sz w:val="32"/>
          <w:szCs w:val="24"/>
        </w:rPr>
      </w:pP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永清县消防救援大队</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按照预算管理有关规定，目前我县部门预算的编制实行综合预算制度，即全部收入和支出都反映在预算中。永清县消防救援大队的收支包含在部门预算中。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收支预算总表支出栏、基本支出表、项目支出表按经济分类和支出功能分类科目编制，反映永清县消防救援大队年度部门预算中支出预算的总体情况。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1253.48</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903.48</w:t>
      </w:r>
      <w:r>
        <w:rPr>
          <w:rFonts w:hint="eastAsia"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897.35</w:t>
      </w:r>
      <w:r>
        <w:rPr>
          <w:rFonts w:hint="eastAsia"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6.13</w:t>
      </w:r>
      <w:r>
        <w:rPr>
          <w:rFonts w:hint="eastAsia"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350</w:t>
      </w:r>
      <w:r>
        <w:rPr>
          <w:rFonts w:hint="eastAsia" w:ascii="Times New Roman" w:hAnsi="Times New Roman" w:eastAsia="仿宋_GB2312" w:cs="Times New Roman"/>
          <w:sz w:val="32"/>
          <w:szCs w:val="32"/>
        </w:rPr>
        <w:t>万元，包括本级支出主要为人员意外伤害险</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、救火专用泡沫</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、被装费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、消防器材、个人防护装备</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、车辆运行维护费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、伙食费</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、综合业务经费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运转保障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1253.48万元</w:t>
      </w:r>
      <w:r>
        <w:rPr>
          <w:rFonts w:ascii="Times New Roman" w:hAnsi="Times New Roman" w:eastAsia="仿宋_GB2312" w:cs="Times New Roman"/>
          <w:sz w:val="32"/>
          <w:szCs w:val="32"/>
        </w:rPr>
        <w:t>1566.5748</w:t>
      </w:r>
      <w:r>
        <w:rPr>
          <w:rFonts w:hint="eastAsia" w:ascii="Times New Roman" w:hAnsi="Times New Roman" w:eastAsia="仿宋_GB2312" w:cs="Times New Roman"/>
          <w:sz w:val="32"/>
          <w:szCs w:val="32"/>
        </w:rPr>
        <w:t>，较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减少313.0948</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减少95.3148</w:t>
      </w:r>
      <w:r>
        <w:rPr>
          <w:rFonts w:hint="eastAsia" w:ascii="Times New Roman" w:hAnsi="Times New Roman" w:eastAsia="仿宋_GB2312" w:cs="Times New Roman"/>
          <w:sz w:val="32"/>
          <w:szCs w:val="32"/>
        </w:rPr>
        <w:t>万元，主要为政府招聘人员工资、社会保障缴费支出；项目支出</w:t>
      </w:r>
      <w:r>
        <w:rPr>
          <w:rFonts w:hint="eastAsia" w:ascii="Times New Roman" w:hAnsi="Times New Roman" w:eastAsia="仿宋_GB2312" w:cs="Times New Roman"/>
          <w:sz w:val="32"/>
          <w:szCs w:val="32"/>
          <w:lang w:val="en-US" w:eastAsia="zh-CN"/>
        </w:rPr>
        <w:t>减少217.78</w:t>
      </w:r>
      <w:r>
        <w:rPr>
          <w:rFonts w:hint="eastAsia" w:ascii="Times New Roman" w:hAnsi="Times New Roman" w:eastAsia="仿宋_GB2312" w:cs="Times New Roman"/>
          <w:sz w:val="32"/>
          <w:szCs w:val="32"/>
        </w:rPr>
        <w:t>万元，主要为伙食费增加。</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年，我大队机关运行经费共计安排</w:t>
      </w:r>
      <w:r>
        <w:rPr>
          <w:rFonts w:hint="eastAsia" w:ascii="Times New Roman" w:hAnsi="Times New Roman" w:eastAsia="仿宋_GB2312" w:cs="Times New Roman"/>
          <w:sz w:val="32"/>
          <w:szCs w:val="32"/>
          <w:lang w:val="en-US" w:eastAsia="zh-CN"/>
        </w:rPr>
        <w:t>6.13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，为邮电费，</w:t>
      </w:r>
      <w:r>
        <w:rPr>
          <w:rFonts w:ascii="Times New Roman" w:hAnsi="Times New Roman" w:eastAsia="仿宋_GB2312" w:cs="Times New Roman"/>
          <w:sz w:val="32"/>
          <w:szCs w:val="32"/>
        </w:rPr>
        <w:t>用于</w:t>
      </w:r>
      <w:r>
        <w:rPr>
          <w:rFonts w:hint="eastAsia" w:ascii="Times New Roman" w:hAnsi="Times New Roman" w:eastAsia="仿宋_GB2312" w:cs="Times New Roman"/>
          <w:sz w:val="32"/>
          <w:szCs w:val="32"/>
          <w:lang w:eastAsia="zh-CN"/>
        </w:rPr>
        <w:t>一体化平台服务费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及在职人员通讯补贴的发放</w:t>
      </w:r>
      <w:r>
        <w:rPr>
          <w:rFonts w:hint="eastAsia" w:ascii="Times New Roman" w:hAnsi="Times New Roman" w:eastAsia="仿宋_GB2312" w:cs="Times New Roman"/>
          <w:sz w:val="32"/>
          <w:szCs w:val="32"/>
        </w:rPr>
        <w:t>。</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bookmarkStart w:id="1" w:name="_GoBack"/>
      <w:bookmarkEnd w:id="1"/>
      <w:r>
        <w:rPr>
          <w:rFonts w:hint="eastAsia" w:ascii="Times New Roman" w:hAnsi="Times New Roman" w:eastAsia="仿宋_GB2312" w:cs="Times New Roman"/>
          <w:sz w:val="32"/>
          <w:szCs w:val="32"/>
          <w:lang w:val="en-US" w:eastAsia="zh-CN"/>
        </w:rPr>
        <w:t>无增减变化</w:t>
      </w:r>
      <w:r>
        <w:rPr>
          <w:rFonts w:hint="eastAsia" w:ascii="Times New Roman" w:hAnsi="Times New Roman" w:eastAsia="仿宋_GB2312" w:cs="Times New Roman"/>
          <w:sz w:val="32"/>
          <w:szCs w:val="32"/>
          <w:lang w:eastAsia="zh-CN"/>
        </w:rPr>
        <w:t>。</w:t>
      </w:r>
    </w:p>
    <w:p>
      <w:pPr>
        <w:spacing w:line="584"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hint="eastAsia" w:ascii="楷体_GB2312" w:eastAsia="楷体_GB2312" w:cs="Times New Roman" w:hAnsiTheme="minorHAnsi"/>
          <w:b/>
          <w:sz w:val="32"/>
          <w:szCs w:val="32"/>
        </w:rPr>
      </w:pPr>
      <w:r>
        <w:rPr>
          <w:rFonts w:hint="eastAsia" w:ascii="楷体_GB2312" w:eastAsia="楷体_GB2312" w:cs="Times New Roman" w:hAnsiTheme="minorHAnsi"/>
          <w:b/>
          <w:sz w:val="32"/>
          <w:szCs w:val="32"/>
          <w:lang w:eastAsia="zh-CN"/>
        </w:rPr>
        <w:t>（</w:t>
      </w:r>
      <w:r>
        <w:rPr>
          <w:rFonts w:hint="eastAsia" w:ascii="楷体_GB2312" w:eastAsia="楷体_GB2312" w:cs="Times New Roman" w:hAnsiTheme="minorHAnsi"/>
          <w:b/>
          <w:sz w:val="32"/>
          <w:szCs w:val="32"/>
          <w:lang w:val="en-US" w:eastAsia="zh-CN"/>
        </w:rPr>
        <w:t>一</w:t>
      </w:r>
      <w:r>
        <w:rPr>
          <w:rFonts w:hint="eastAsia" w:ascii="楷体_GB2312" w:eastAsia="楷体_GB2312" w:cs="Times New Roman" w:hAnsiTheme="minorHAnsi"/>
          <w:b/>
          <w:sz w:val="32"/>
          <w:szCs w:val="32"/>
          <w:lang w:eastAsia="zh-CN"/>
        </w:rPr>
        <w:t>）</w:t>
      </w:r>
      <w:r>
        <w:rPr>
          <w:rFonts w:hint="eastAsia" w:ascii="楷体_GB2312" w:eastAsia="楷体_GB2312" w:cs="Times New Roman" w:hAnsiTheme="minorHAnsi"/>
          <w:b/>
          <w:sz w:val="32"/>
          <w:szCs w:val="32"/>
        </w:rPr>
        <w:t>总体绩效目标</w:t>
      </w:r>
    </w:p>
    <w:p>
      <w:pPr>
        <w:spacing w:line="560" w:lineRule="exact"/>
        <w:ind w:firstLine="640" w:firstLineChars="200"/>
        <w:rPr>
          <w:rFonts w:ascii="仿宋_GB2312" w:hAnsi="仿宋" w:eastAsia="仿宋_GB2312"/>
          <w:b/>
          <w:bCs/>
          <w:sz w:val="32"/>
          <w:szCs w:val="32"/>
        </w:rPr>
      </w:pPr>
      <w:r>
        <w:rPr>
          <w:rFonts w:hint="eastAsia" w:ascii="仿宋_GB2312" w:hAnsi="仿宋" w:eastAsia="仿宋_GB2312"/>
          <w:sz w:val="32"/>
          <w:szCs w:val="32"/>
        </w:rPr>
        <w:t>防止火灾的发生，减少火灾的损失，积极参加社会抢险救援，确保全县消防工作、调度会、宣传、季度执法例会等会议顺利召开；保障</w:t>
      </w:r>
      <w:r>
        <w:rPr>
          <w:rFonts w:ascii="仿宋_GB2312" w:hAnsi="仿宋" w:eastAsia="仿宋_GB2312"/>
          <w:sz w:val="32"/>
          <w:szCs w:val="32"/>
        </w:rPr>
        <w:t>119</w:t>
      </w:r>
      <w:r>
        <w:rPr>
          <w:rFonts w:hint="eastAsia" w:ascii="仿宋_GB2312" w:hAnsi="仿宋" w:eastAsia="仿宋_GB2312"/>
          <w:sz w:val="32"/>
          <w:szCs w:val="32"/>
        </w:rPr>
        <w:t>宣传印制资料及日常宣传材料，制作消防宣传片，户外宣传牌制作。确保各类火灾及社会抢险出警得到保障，保护公共财产和人民生命财产安全。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sz w:val="32"/>
          <w:szCs w:val="32"/>
          <w:lang w:val="en-US" w:eastAsia="zh-CN"/>
        </w:rPr>
        <w:t>被装费项目</w:t>
      </w:r>
      <w:r>
        <w:rPr>
          <w:rFonts w:hint="eastAsia" w:ascii="仿宋_GB2312" w:hAnsi="仿宋" w:eastAsia="仿宋_GB2312"/>
          <w:sz w:val="32"/>
          <w:szCs w:val="32"/>
        </w:rPr>
        <w:t>。</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rPr>
        <w:t>完成2023年专职人员新式服装、被褥等被装购置，规范消防救援队伍建设管理，统一着装。</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rPr>
        <w:t>新增购置的被装保障人数≥</w:t>
      </w:r>
      <w:r>
        <w:rPr>
          <w:rFonts w:hint="eastAsia" w:ascii="仿宋_GB2312" w:hAnsi="仿宋" w:eastAsia="仿宋_GB2312"/>
          <w:sz w:val="32"/>
          <w:szCs w:val="32"/>
          <w:lang w:val="en-US" w:eastAsia="zh-CN"/>
        </w:rPr>
        <w:t>117人</w:t>
      </w:r>
      <w:r>
        <w:rPr>
          <w:rFonts w:hint="eastAsia" w:ascii="仿宋_GB2312" w:hAnsi="仿宋" w:eastAsia="仿宋_GB2312"/>
          <w:sz w:val="32"/>
          <w:szCs w:val="32"/>
        </w:rPr>
        <w:t>，购置质量合格的数量占购置总数量的比率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购置被装数占时有人数的比率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w:t>
      </w:r>
      <w:r>
        <w:rPr>
          <w:rFonts w:hint="eastAsia" w:ascii="仿宋_GB2312" w:hAnsi="仿宋" w:eastAsia="仿宋_GB2312"/>
          <w:sz w:val="32"/>
          <w:szCs w:val="32"/>
        </w:rPr>
        <w:t>实际到达单位的项目资金金额与计划投入资金的比率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22万元，</w:t>
      </w:r>
      <w:r>
        <w:rPr>
          <w:rFonts w:hint="eastAsia" w:ascii="仿宋_GB2312" w:hAnsi="仿宋" w:eastAsia="仿宋_GB2312"/>
          <w:sz w:val="32"/>
          <w:szCs w:val="32"/>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购置对业务保障能力的提升情况</w:t>
      </w:r>
      <w:r>
        <w:rPr>
          <w:rFonts w:hint="eastAsia" w:ascii="仿宋_GB2312" w:hAnsi="仿宋" w:eastAsia="仿宋_GB2312"/>
          <w:sz w:val="32"/>
          <w:szCs w:val="32"/>
          <w:lang w:eastAsia="zh-CN"/>
        </w:rPr>
        <w:t>以上年提升，</w:t>
      </w:r>
      <w:r>
        <w:rPr>
          <w:rFonts w:hint="eastAsia" w:ascii="仿宋_GB2312" w:hAnsi="仿宋" w:eastAsia="仿宋_GB2312"/>
          <w:sz w:val="32"/>
          <w:szCs w:val="32"/>
        </w:rPr>
        <w:t>保障完成执法执勤率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r>
        <w:rPr>
          <w:rFonts w:hint="eastAsia" w:ascii="仿宋_GB2312" w:hAnsi="仿宋" w:eastAsia="仿宋_GB2312"/>
          <w:sz w:val="32"/>
          <w:szCs w:val="32"/>
        </w:rPr>
        <w:t>以后年度本项目继续实施的制度保障健全程度</w:t>
      </w:r>
      <w:r>
        <w:rPr>
          <w:rFonts w:hint="eastAsia" w:ascii="仿宋_GB2312" w:hAnsi="仿宋" w:eastAsia="仿宋_GB2312"/>
          <w:sz w:val="32"/>
          <w:szCs w:val="32"/>
          <w:lang w:eastAsia="zh-CN"/>
        </w:rPr>
        <w:t>（健全），</w:t>
      </w:r>
      <w:r>
        <w:rPr>
          <w:rFonts w:hint="eastAsia" w:ascii="仿宋_GB2312" w:hAnsi="仿宋" w:eastAsia="仿宋_GB2312"/>
          <w:sz w:val="32"/>
          <w:szCs w:val="32"/>
        </w:rPr>
        <w:t>使用人满意和较满意的数量占调查总人数的比率≥</w:t>
      </w:r>
      <w:r>
        <w:rPr>
          <w:rFonts w:hint="eastAsia" w:ascii="仿宋_GB2312" w:hAnsi="仿宋" w:eastAsia="仿宋_GB2312"/>
          <w:sz w:val="32"/>
          <w:szCs w:val="32"/>
          <w:lang w:val="en-US" w:eastAsia="zh-CN"/>
        </w:rPr>
        <w:t>90%。</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2、车辆运行维护费项目</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rPr>
        <w:t>根据车辆日常消耗，按照标准每月对灭火、救援执勤车辆及监督检查车辆的经费支出予以保障。确保火灾预防、扑救和应急救援、维稳处突等工作任务顺利完成。</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rPr>
        <w:t>保障车辆数量≥</w:t>
      </w:r>
      <w:r>
        <w:rPr>
          <w:rFonts w:hint="eastAsia" w:ascii="仿宋_GB2312" w:hAnsi="仿宋" w:eastAsia="仿宋_GB2312"/>
          <w:sz w:val="32"/>
          <w:szCs w:val="32"/>
          <w:lang w:val="en-US" w:eastAsia="zh-CN"/>
        </w:rPr>
        <w:t>16辆，</w:t>
      </w:r>
      <w:r>
        <w:rPr>
          <w:rFonts w:hint="eastAsia" w:ascii="仿宋_GB2312" w:hAnsi="仿宋" w:eastAsia="仿宋_GB2312"/>
          <w:sz w:val="32"/>
          <w:szCs w:val="32"/>
        </w:rPr>
        <w:t>保障执行经费的人数占的比率=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项目资金拨付支出是否及时</w:t>
      </w:r>
      <w:r>
        <w:rPr>
          <w:rFonts w:hint="eastAsia" w:ascii="仿宋_GB2312" w:hAnsi="仿宋" w:eastAsia="仿宋_GB2312"/>
          <w:sz w:val="32"/>
          <w:szCs w:val="32"/>
          <w:lang w:eastAsia="zh-CN"/>
        </w:rPr>
        <w:t>（</w:t>
      </w:r>
      <w:r>
        <w:rPr>
          <w:rFonts w:hint="eastAsia" w:ascii="仿宋_GB2312" w:hAnsi="仿宋" w:eastAsia="仿宋_GB2312"/>
          <w:sz w:val="32"/>
          <w:szCs w:val="32"/>
        </w:rPr>
        <w:t>按工作计划执行</w:t>
      </w:r>
      <w:r>
        <w:rPr>
          <w:rFonts w:hint="eastAsia" w:ascii="仿宋_GB2312" w:hAnsi="仿宋" w:eastAsia="仿宋_GB2312"/>
          <w:sz w:val="32"/>
          <w:szCs w:val="32"/>
          <w:lang w:eastAsia="zh-CN"/>
        </w:rPr>
        <w:t>），</w:t>
      </w:r>
      <w:r>
        <w:rPr>
          <w:rFonts w:hint="eastAsia" w:ascii="仿宋_GB2312" w:hAnsi="仿宋" w:eastAsia="仿宋_GB2312"/>
          <w:sz w:val="32"/>
          <w:szCs w:val="32"/>
        </w:rPr>
        <w:t>实际到达单位的项目资金金额与计划投入资金的比率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50万元，</w:t>
      </w:r>
      <w:r>
        <w:rPr>
          <w:rFonts w:hint="eastAsia" w:ascii="仿宋_GB2312" w:hAnsi="仿宋" w:eastAsia="仿宋_GB2312"/>
          <w:sz w:val="32"/>
          <w:szCs w:val="32"/>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rPr>
        <w:t>车辆运行保障对业务保障能力的提升情况</w:t>
      </w:r>
      <w:r>
        <w:rPr>
          <w:rFonts w:hint="eastAsia" w:ascii="仿宋_GB2312" w:hAnsi="仿宋" w:eastAsia="仿宋_GB2312"/>
          <w:sz w:val="32"/>
          <w:szCs w:val="32"/>
          <w:lang w:eastAsia="zh-CN"/>
        </w:rPr>
        <w:t>（以上年提升），</w:t>
      </w:r>
      <w:r>
        <w:rPr>
          <w:rFonts w:hint="eastAsia" w:ascii="仿宋_GB2312" w:hAnsi="仿宋" w:eastAsia="仿宋_GB2312"/>
          <w:sz w:val="32"/>
          <w:szCs w:val="32"/>
        </w:rPr>
        <w:t>保障完成执法执勤</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r>
        <w:rPr>
          <w:rFonts w:hint="eastAsia" w:ascii="仿宋_GB2312" w:hAnsi="仿宋" w:eastAsia="仿宋_GB2312"/>
          <w:sz w:val="32"/>
          <w:szCs w:val="32"/>
        </w:rPr>
        <w:t>以后年度本项目继续实施的制度保障健全程度</w:t>
      </w:r>
      <w:r>
        <w:rPr>
          <w:rFonts w:hint="eastAsia" w:ascii="仿宋_GB2312" w:hAnsi="仿宋" w:eastAsia="仿宋_GB2312"/>
          <w:sz w:val="32"/>
          <w:szCs w:val="32"/>
          <w:lang w:eastAsia="zh-CN"/>
        </w:rPr>
        <w:t>（健全），</w:t>
      </w:r>
      <w:r>
        <w:rPr>
          <w:rFonts w:hint="eastAsia" w:ascii="仿宋_GB2312" w:hAnsi="仿宋" w:eastAsia="仿宋_GB2312"/>
          <w:sz w:val="32"/>
          <w:szCs w:val="32"/>
        </w:rPr>
        <w:t>使用人满意和较满意的数量占调查总人数的比率</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90%。</w:t>
      </w:r>
    </w:p>
    <w:p>
      <w:pPr>
        <w:numPr>
          <w:ilvl w:val="0"/>
          <w:numId w:val="0"/>
        </w:numPr>
        <w:spacing w:line="560" w:lineRule="exact"/>
        <w:ind w:leftChars="200"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3、伙食费项目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lang w:eastAsia="zh-CN"/>
        </w:rPr>
        <w:t>通过伙食费保障</w:t>
      </w:r>
      <w:r>
        <w:rPr>
          <w:rFonts w:hint="eastAsia" w:ascii="仿宋_GB2312" w:hAnsi="仿宋" w:eastAsia="仿宋_GB2312"/>
          <w:sz w:val="32"/>
          <w:szCs w:val="32"/>
          <w:lang w:val="en-US" w:eastAsia="zh-CN"/>
        </w:rPr>
        <w:t>117名专职消防人员人均41元每天的伙食标准，保障专职人员的基本人身权益。</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绩效指标</w:t>
      </w:r>
      <w:r>
        <w:rPr>
          <w:rFonts w:ascii="仿宋_GB2312" w:hAnsi="仿宋" w:eastAsia="仿宋_GB2312"/>
          <w:b/>
          <w:bCs/>
          <w:sz w:val="32"/>
          <w:szCs w:val="32"/>
        </w:rPr>
        <w:t>:</w:t>
      </w:r>
      <w:r>
        <w:rPr>
          <w:rFonts w:hint="eastAsia" w:ascii="仿宋_GB2312" w:hAnsi="仿宋" w:eastAsia="仿宋_GB2312"/>
          <w:sz w:val="32"/>
          <w:szCs w:val="32"/>
          <w:lang w:eastAsia="zh-CN"/>
        </w:rPr>
        <w:t>保障执行经费的人数≥</w:t>
      </w:r>
      <w:r>
        <w:rPr>
          <w:rFonts w:hint="eastAsia" w:ascii="仿宋_GB2312" w:hAnsi="仿宋" w:eastAsia="仿宋_GB2312"/>
          <w:sz w:val="32"/>
          <w:szCs w:val="32"/>
          <w:lang w:val="en-US" w:eastAsia="zh-CN"/>
        </w:rPr>
        <w:t>117人，</w:t>
      </w:r>
      <w:r>
        <w:rPr>
          <w:rFonts w:hint="eastAsia" w:ascii="仿宋_GB2312" w:hAnsi="仿宋" w:eastAsia="仿宋_GB2312"/>
          <w:sz w:val="32"/>
          <w:szCs w:val="32"/>
          <w:lang w:eastAsia="zh-CN"/>
        </w:rPr>
        <w:t>保障执行经费的人数占的比率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目资金拨付支出是否及时（按工作计划执行），实际到达单位的项目资金金额与计划投入资金的比率≤</w:t>
      </w:r>
      <w:r>
        <w:rPr>
          <w:rFonts w:hint="eastAsia" w:ascii="仿宋_GB2312" w:hAnsi="仿宋" w:eastAsia="仿宋_GB2312"/>
          <w:sz w:val="32"/>
          <w:szCs w:val="32"/>
          <w:lang w:val="en-US" w:eastAsia="zh-CN"/>
        </w:rPr>
        <w:t>70万元，</w:t>
      </w:r>
      <w:r>
        <w:rPr>
          <w:rFonts w:hint="eastAsia" w:ascii="仿宋_GB2312" w:hAnsi="仿宋" w:eastAsia="仿宋_GB2312"/>
          <w:sz w:val="32"/>
          <w:szCs w:val="32"/>
          <w:lang w:eastAsia="zh-CN"/>
        </w:rPr>
        <w:t>保障完成执法执勤率</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通过伙食经费保障完成执法执勤情况</w:t>
      </w:r>
      <w:r>
        <w:rPr>
          <w:rFonts w:hint="eastAsia" w:ascii="仿宋_GB2312" w:hAnsi="仿宋" w:eastAsia="仿宋_GB2312"/>
          <w:sz w:val="32"/>
          <w:szCs w:val="32"/>
          <w:lang w:val="en-US" w:eastAsia="zh-CN"/>
        </w:rPr>
        <w:t>(以上年提升)，</w:t>
      </w:r>
      <w:r>
        <w:rPr>
          <w:rFonts w:hint="eastAsia" w:ascii="仿宋_GB2312" w:hAnsi="仿宋" w:eastAsia="仿宋_GB2312"/>
          <w:sz w:val="32"/>
          <w:szCs w:val="32"/>
          <w:lang w:eastAsia="zh-CN"/>
        </w:rPr>
        <w:t>生态效益保障率≥</w:t>
      </w:r>
      <w:r>
        <w:rPr>
          <w:rFonts w:hint="eastAsia" w:ascii="仿宋_GB2312" w:hAnsi="仿宋" w:eastAsia="仿宋_GB2312"/>
          <w:sz w:val="32"/>
          <w:szCs w:val="32"/>
          <w:lang w:val="en-US" w:eastAsia="zh-CN"/>
        </w:rPr>
        <w:t>90%，</w:t>
      </w:r>
      <w:r>
        <w:rPr>
          <w:rFonts w:hint="eastAsia" w:ascii="仿宋_GB2312" w:hAnsi="仿宋" w:eastAsia="仿宋_GB2312"/>
          <w:sz w:val="32"/>
          <w:szCs w:val="32"/>
          <w:lang w:eastAsia="zh-CN"/>
        </w:rPr>
        <w:t>以后年度本项目继续实施的制度保障健全程度（健全），使用人满意和较满意的数量占调查总人数的比率≥</w:t>
      </w:r>
      <w:r>
        <w:rPr>
          <w:rFonts w:hint="eastAsia" w:ascii="仿宋_GB2312" w:hAnsi="仿宋" w:eastAsia="仿宋_GB2312"/>
          <w:sz w:val="32"/>
          <w:szCs w:val="32"/>
          <w:lang w:val="en-US" w:eastAsia="zh-CN"/>
        </w:rPr>
        <w:t>90%。</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4、救火专用泡沫项目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sz w:val="32"/>
          <w:szCs w:val="32"/>
          <w:lang w:val="en-US" w:eastAsia="zh-CN"/>
        </w:rPr>
        <w:t xml:space="preserve">救火专用泡沫的购买，主要用于特种火灾扑救任务与日常演练，提升永清县消防救援大队油气类火灾扑救的处置能力，降低全县范围内此类火灾造成的损失。      </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新增购置的灭火剂数量≥16吨，购置质量合格的数量占购置总数量的比率＝100%，通过验收的购置数量占购置总数量的比率=100%,购置总成本与购置数量的比值≤20万元，保障完成灭火执勤率=100%，灭火剂购置对业务保障能力的提升情况（以上年提升），保障完成执法执勤率≥90%，以后年度本项目继续实施的制度保障健全程度（健全），使用人满意和较满意的数量占调查总人数的比率≥90%。</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5、人身意外险项目</w:t>
      </w:r>
    </w:p>
    <w:p>
      <w:pPr>
        <w:spacing w:line="56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人身意外险的缴纳，使全体全体专职消防人员的生活与生命安全得以保障，安心为全县人民生命财产安全保驾护航。</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sz w:val="32"/>
          <w:szCs w:val="32"/>
          <w:lang w:val="en-US" w:eastAsia="zh-CN"/>
        </w:rPr>
        <w:t xml:space="preserve">    </w:t>
      </w:r>
    </w:p>
    <w:p>
      <w:p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保障执行经费的人数≥</w:t>
      </w:r>
      <w:r>
        <w:rPr>
          <w:rFonts w:hint="eastAsia" w:ascii="仿宋_GB2312" w:hAnsi="仿宋" w:eastAsia="仿宋_GB2312"/>
          <w:b w:val="0"/>
          <w:bCs w:val="0"/>
          <w:sz w:val="32"/>
          <w:szCs w:val="32"/>
          <w:lang w:val="en-US" w:eastAsia="zh-CN"/>
        </w:rPr>
        <w:t>117人，</w:t>
      </w:r>
      <w:r>
        <w:rPr>
          <w:rFonts w:hint="eastAsia" w:ascii="仿宋_GB2312" w:hAnsi="仿宋" w:eastAsia="仿宋_GB2312"/>
          <w:b w:val="0"/>
          <w:bCs w:val="0"/>
          <w:sz w:val="32"/>
          <w:szCs w:val="32"/>
          <w:lang w:eastAsia="zh-CN"/>
        </w:rPr>
        <w:t>保障执行经费的人数占的比率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项目资金拨付支出是否及时（按工作计划执行），实际到达单位的项目资金金额与计划投入资金的比率≤</w:t>
      </w:r>
      <w:r>
        <w:rPr>
          <w:rFonts w:hint="eastAsia" w:ascii="仿宋_GB2312" w:hAnsi="仿宋" w:eastAsia="仿宋_GB2312"/>
          <w:b w:val="0"/>
          <w:bCs w:val="0"/>
          <w:sz w:val="32"/>
          <w:szCs w:val="32"/>
          <w:lang w:val="en-US" w:eastAsia="zh-CN"/>
        </w:rPr>
        <w:t>15万元，</w:t>
      </w:r>
      <w:r>
        <w:rPr>
          <w:rFonts w:hint="eastAsia" w:ascii="仿宋_GB2312" w:hAnsi="仿宋" w:eastAsia="仿宋_GB2312"/>
          <w:b w:val="0"/>
          <w:bCs w:val="0"/>
          <w:sz w:val="32"/>
          <w:szCs w:val="32"/>
          <w:lang w:eastAsia="zh-CN"/>
        </w:rPr>
        <w:t>保障完成执法执勤率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通过业务经费保障完成执法执勤情况（以上年提升），生态效益保障率≥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以后年度本项目继续实施的制度保障健全程度（健全），使用人满意和较满意的数量占调查总人数的比率≥</w:t>
      </w:r>
      <w:r>
        <w:rPr>
          <w:rFonts w:hint="eastAsia" w:ascii="仿宋_GB2312" w:hAnsi="仿宋" w:eastAsia="仿宋_GB2312"/>
          <w:b w:val="0"/>
          <w:bCs w:val="0"/>
          <w:sz w:val="32"/>
          <w:szCs w:val="32"/>
          <w:lang w:val="en-US" w:eastAsia="zh-CN"/>
        </w:rPr>
        <w:t>90%。</w:t>
      </w:r>
    </w:p>
    <w:p>
      <w:pPr>
        <w:numPr>
          <w:ilvl w:val="0"/>
          <w:numId w:val="0"/>
        </w:num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lang w:eastAsia="zh-CN"/>
        </w:rPr>
        <w:t>消防器材、个人防护装备项目</w:t>
      </w:r>
    </w:p>
    <w:p>
      <w:pPr>
        <w:numPr>
          <w:ilvl w:val="0"/>
          <w:numId w:val="0"/>
        </w:num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 xml:space="preserve">消防器材、个人防护装备项目主要用于支付2021年采购消防器材、个人防护装备项目尾款。项目的完成确保灭火救援的顺利进行，稳定火灾形势，适应新时期应急和灭火救援工作需要。  </w:t>
      </w:r>
    </w:p>
    <w:p>
      <w:pPr>
        <w:spacing w:line="560" w:lineRule="exact"/>
        <w:ind w:firstLine="643" w:firstLineChars="200"/>
        <w:rPr>
          <w:rFonts w:hint="eastAsia"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新增购置的器材数量≥</w:t>
      </w:r>
      <w:r>
        <w:rPr>
          <w:rFonts w:hint="eastAsia" w:ascii="仿宋_GB2312" w:hAnsi="仿宋" w:eastAsia="仿宋_GB2312"/>
          <w:b w:val="0"/>
          <w:bCs w:val="0"/>
          <w:sz w:val="32"/>
          <w:szCs w:val="32"/>
          <w:lang w:val="en-US" w:eastAsia="zh-CN"/>
        </w:rPr>
        <w:t>20种，</w:t>
      </w:r>
      <w:r>
        <w:rPr>
          <w:rFonts w:hint="eastAsia" w:ascii="仿宋_GB2312" w:hAnsi="仿宋" w:eastAsia="仿宋_GB2312"/>
          <w:b w:val="0"/>
          <w:bCs w:val="0"/>
          <w:sz w:val="32"/>
          <w:szCs w:val="32"/>
          <w:lang w:eastAsia="zh-CN"/>
        </w:rPr>
        <w:t>购置质量合格的数量占购置总数量的比率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购买器材、装备通过验收的购置时间</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lang w:eastAsia="zh-CN"/>
        </w:rPr>
        <w:t>6月底前完成</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sz w:val="32"/>
          <w:szCs w:val="32"/>
          <w:lang w:eastAsia="zh-CN"/>
        </w:rPr>
        <w:t>购置总成本与购置数量的比值≤</w:t>
      </w:r>
      <w:r>
        <w:rPr>
          <w:rFonts w:hint="eastAsia" w:ascii="仿宋_GB2312" w:hAnsi="仿宋" w:eastAsia="仿宋_GB2312"/>
          <w:b w:val="0"/>
          <w:bCs w:val="0"/>
          <w:sz w:val="32"/>
          <w:szCs w:val="32"/>
          <w:lang w:val="en-US" w:eastAsia="zh-CN"/>
        </w:rPr>
        <w:t>3.25625万元，</w:t>
      </w:r>
      <w:r>
        <w:rPr>
          <w:rFonts w:hint="eastAsia" w:ascii="仿宋_GB2312" w:hAnsi="仿宋" w:eastAsia="仿宋_GB2312"/>
          <w:b w:val="0"/>
          <w:bCs w:val="0"/>
          <w:sz w:val="32"/>
          <w:szCs w:val="32"/>
          <w:lang w:eastAsia="zh-CN"/>
        </w:rPr>
        <w:t>保障完成灭火执勤率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购置器材、个人防护装备对业务保障能力的提升情况（以上年提升），保障完成执法执勤率≥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购置器材、个人防护装备使用年限（健全），使用人满意和较满意的数量占调查总人数的比率≥</w:t>
      </w:r>
      <w:r>
        <w:rPr>
          <w:rFonts w:hint="eastAsia" w:ascii="仿宋_GB2312" w:hAnsi="仿宋" w:eastAsia="仿宋_GB2312"/>
          <w:b w:val="0"/>
          <w:bCs w:val="0"/>
          <w:sz w:val="32"/>
          <w:szCs w:val="32"/>
          <w:lang w:val="en-US" w:eastAsia="zh-CN"/>
        </w:rPr>
        <w:t>90%。</w:t>
      </w:r>
    </w:p>
    <w:p>
      <w:pPr>
        <w:numPr>
          <w:ilvl w:val="0"/>
          <w:numId w:val="0"/>
        </w:numPr>
        <w:spacing w:line="56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7、</w:t>
      </w:r>
      <w:r>
        <w:rPr>
          <w:rFonts w:hint="eastAsia" w:ascii="仿宋_GB2312" w:hAnsi="仿宋" w:eastAsia="仿宋_GB2312"/>
          <w:b w:val="0"/>
          <w:bCs w:val="0"/>
          <w:sz w:val="32"/>
          <w:szCs w:val="32"/>
          <w:lang w:eastAsia="zh-CN"/>
        </w:rPr>
        <w:t>综合业务经费（运转保障）项目</w:t>
      </w:r>
    </w:p>
    <w:p>
      <w:pPr>
        <w:numPr>
          <w:ilvl w:val="0"/>
          <w:numId w:val="0"/>
        </w:numPr>
        <w:spacing w:line="560" w:lineRule="exact"/>
        <w:ind w:firstLine="643" w:firstLineChars="200"/>
        <w:rPr>
          <w:rFonts w:hint="eastAsia" w:ascii="仿宋_GB2312" w:hAnsi="仿宋" w:eastAsia="仿宋_GB2312"/>
          <w:b w:val="0"/>
          <w:bCs w:val="0"/>
          <w:sz w:val="32"/>
          <w:szCs w:val="32"/>
          <w:lang w:eastAsia="zh-CN"/>
        </w:rPr>
      </w:pPr>
      <w:r>
        <w:rPr>
          <w:rFonts w:hint="eastAsia" w:ascii="仿宋_GB2312" w:hAnsi="仿宋" w:eastAsia="仿宋_GB2312"/>
          <w:b/>
          <w:bCs/>
          <w:sz w:val="32"/>
          <w:szCs w:val="32"/>
        </w:rPr>
        <w:t>绩效目标</w:t>
      </w:r>
      <w:r>
        <w:rPr>
          <w:rFonts w:ascii="仿宋_GB2312" w:hAnsi="仿宋" w:eastAsia="仿宋_GB2312"/>
          <w:b/>
          <w:bCs/>
          <w:sz w:val="32"/>
          <w:szCs w:val="32"/>
        </w:rPr>
        <w:t>:</w:t>
      </w:r>
      <w:r>
        <w:rPr>
          <w:rFonts w:hint="eastAsia" w:ascii="仿宋_GB2312" w:hAnsi="仿宋" w:eastAsia="仿宋_GB2312"/>
          <w:b w:val="0"/>
          <w:bCs w:val="0"/>
          <w:sz w:val="32"/>
          <w:szCs w:val="32"/>
          <w:lang w:eastAsia="zh-CN"/>
        </w:rPr>
        <w:t>综合业务经费项目主要用于保障我单位全年职能所需的经常性、消耗支出，确保火灾预防、扑救和应急救援、维稳处突等工作任务顺利完成。</w:t>
      </w:r>
    </w:p>
    <w:p>
      <w:pPr>
        <w:numPr>
          <w:ilvl w:val="0"/>
          <w:numId w:val="0"/>
        </w:numPr>
        <w:spacing w:line="560" w:lineRule="exact"/>
        <w:ind w:firstLine="643" w:firstLineChars="200"/>
        <w:rPr>
          <w:rFonts w:hint="default" w:ascii="仿宋_GB2312" w:hAnsi="仿宋" w:eastAsia="仿宋_GB2312"/>
          <w:b w:val="0"/>
          <w:bCs w:val="0"/>
          <w:sz w:val="32"/>
          <w:szCs w:val="32"/>
          <w:lang w:val="en-US" w:eastAsia="zh-CN"/>
        </w:rPr>
      </w:pPr>
      <w:r>
        <w:rPr>
          <w:rFonts w:hint="eastAsia" w:ascii="仿宋_GB2312" w:hAnsi="仿宋" w:eastAsia="仿宋_GB2312"/>
          <w:b/>
          <w:bCs/>
          <w:sz w:val="32"/>
          <w:szCs w:val="32"/>
          <w:lang w:val="en-US" w:eastAsia="zh-CN"/>
        </w:rPr>
        <w:t>绩效指标</w:t>
      </w:r>
      <w:r>
        <w:rPr>
          <w:rFonts w:hint="eastAsia" w:ascii="仿宋_GB2312" w:hAnsi="仿宋" w:eastAsia="仿宋_GB2312"/>
          <w:sz w:val="32"/>
          <w:szCs w:val="32"/>
          <w:lang w:val="en-US" w:eastAsia="zh-CN"/>
        </w:rPr>
        <w:t>:</w:t>
      </w:r>
      <w:r>
        <w:rPr>
          <w:rFonts w:hint="eastAsia" w:ascii="仿宋_GB2312" w:hAnsi="仿宋" w:eastAsia="仿宋_GB2312"/>
          <w:b w:val="0"/>
          <w:bCs w:val="0"/>
          <w:sz w:val="32"/>
          <w:szCs w:val="32"/>
          <w:lang w:eastAsia="zh-CN"/>
        </w:rPr>
        <w:t>保障执行经费的人数≥</w:t>
      </w:r>
      <w:r>
        <w:rPr>
          <w:rFonts w:hint="eastAsia" w:ascii="仿宋_GB2312" w:hAnsi="仿宋" w:eastAsia="仿宋_GB2312"/>
          <w:b w:val="0"/>
          <w:bCs w:val="0"/>
          <w:sz w:val="32"/>
          <w:szCs w:val="32"/>
          <w:lang w:val="en-US" w:eastAsia="zh-CN"/>
        </w:rPr>
        <w:t>117人，</w:t>
      </w:r>
      <w:r>
        <w:rPr>
          <w:rFonts w:hint="eastAsia" w:ascii="仿宋_GB2312" w:hAnsi="仿宋" w:eastAsia="仿宋_GB2312"/>
          <w:b w:val="0"/>
          <w:bCs w:val="0"/>
          <w:sz w:val="32"/>
          <w:szCs w:val="32"/>
          <w:lang w:eastAsia="zh-CN"/>
        </w:rPr>
        <w:t>保障执行经费的人数占的比率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项目资金拨付支出是否及时</w:t>
      </w:r>
      <w:r>
        <w:rPr>
          <w:rFonts w:hint="eastAsia" w:ascii="仿宋_GB2312" w:hAnsi="仿宋" w:eastAsia="仿宋_GB2312"/>
          <w:b w:val="0"/>
          <w:bCs w:val="0"/>
          <w:sz w:val="32"/>
          <w:szCs w:val="32"/>
          <w:lang w:val="en-US" w:eastAsia="zh-CN"/>
        </w:rPr>
        <w:t>(按工作计划执行)，</w:t>
      </w:r>
      <w:r>
        <w:rPr>
          <w:rFonts w:hint="eastAsia" w:ascii="仿宋_GB2312" w:hAnsi="仿宋" w:eastAsia="仿宋_GB2312"/>
          <w:b w:val="0"/>
          <w:bCs w:val="0"/>
          <w:sz w:val="32"/>
          <w:szCs w:val="32"/>
          <w:lang w:eastAsia="zh-CN"/>
        </w:rPr>
        <w:t>实际到达单位的项目资金金额与计划投入资金的比率≤</w:t>
      </w:r>
      <w:r>
        <w:rPr>
          <w:rFonts w:hint="eastAsia" w:ascii="仿宋_GB2312" w:hAnsi="仿宋" w:eastAsia="仿宋_GB2312"/>
          <w:b w:val="0"/>
          <w:bCs w:val="0"/>
          <w:sz w:val="32"/>
          <w:szCs w:val="32"/>
          <w:lang w:val="en-US" w:eastAsia="zh-CN"/>
        </w:rPr>
        <w:t>169.74375万元，</w:t>
      </w:r>
      <w:r>
        <w:rPr>
          <w:rFonts w:hint="eastAsia" w:ascii="仿宋_GB2312" w:hAnsi="仿宋" w:eastAsia="仿宋_GB2312"/>
          <w:b w:val="0"/>
          <w:bCs w:val="0"/>
          <w:sz w:val="32"/>
          <w:szCs w:val="32"/>
          <w:lang w:eastAsia="zh-CN"/>
        </w:rPr>
        <w:t>保障完成执法执勤率</w:t>
      </w:r>
      <w:r>
        <w:rPr>
          <w:rFonts w:hint="eastAsia" w:ascii="仿宋_GB2312" w:hAnsi="仿宋" w:eastAsia="仿宋_GB2312"/>
          <w:b w:val="0"/>
          <w:bCs w:val="0"/>
          <w:sz w:val="32"/>
          <w:szCs w:val="32"/>
          <w:lang w:val="en-US" w:eastAsia="zh-CN"/>
        </w:rPr>
        <w:t>=100%，</w:t>
      </w:r>
      <w:r>
        <w:rPr>
          <w:rFonts w:hint="eastAsia" w:ascii="仿宋_GB2312" w:hAnsi="仿宋" w:eastAsia="仿宋_GB2312"/>
          <w:b w:val="0"/>
          <w:bCs w:val="0"/>
          <w:sz w:val="32"/>
          <w:szCs w:val="32"/>
          <w:lang w:eastAsia="zh-CN"/>
        </w:rPr>
        <w:t>通过业务经费保障完成执法执勤情况（以上年提升），生态效益保障率≥</w:t>
      </w:r>
      <w:r>
        <w:rPr>
          <w:rFonts w:hint="eastAsia" w:ascii="仿宋_GB2312" w:hAnsi="仿宋" w:eastAsia="仿宋_GB2312"/>
          <w:b w:val="0"/>
          <w:bCs w:val="0"/>
          <w:sz w:val="32"/>
          <w:szCs w:val="32"/>
          <w:lang w:val="en-US" w:eastAsia="zh-CN"/>
        </w:rPr>
        <w:t>90%，</w:t>
      </w:r>
      <w:r>
        <w:rPr>
          <w:rFonts w:hint="eastAsia" w:ascii="仿宋_GB2312" w:hAnsi="仿宋" w:eastAsia="仿宋_GB2312"/>
          <w:b w:val="0"/>
          <w:bCs w:val="0"/>
          <w:sz w:val="32"/>
          <w:szCs w:val="32"/>
          <w:lang w:eastAsia="zh-CN"/>
        </w:rPr>
        <w:t>以后年度本项目继续实施的制度保障健全程度（健全），使用人满意和较满意的数量占调查总人数的比率≥</w:t>
      </w:r>
      <w:r>
        <w:rPr>
          <w:rFonts w:hint="eastAsia" w:ascii="仿宋_GB2312" w:hAnsi="仿宋" w:eastAsia="仿宋_GB2312"/>
          <w:b w:val="0"/>
          <w:bCs w:val="0"/>
          <w:sz w:val="32"/>
          <w:szCs w:val="32"/>
          <w:lang w:val="en-US" w:eastAsia="zh-CN"/>
        </w:rPr>
        <w:t>90%。</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560" w:firstLineChars="200"/>
        <w:jc w:val="left"/>
        <w:rPr>
          <w:rFonts w:hint="eastAsia" w:ascii="Times New Roman" w:hAnsi="宋体" w:eastAsia="方正仿宋_GBK" w:cs="宋体"/>
          <w:sz w:val="28"/>
        </w:rPr>
      </w:pPr>
      <w:r>
        <w:rPr>
          <w:rFonts w:hint="eastAsia" w:ascii="Times New Roman" w:hAnsi="宋体" w:eastAsia="方正仿宋_GBK" w:cs="宋体"/>
          <w:sz w:val="28"/>
        </w:rP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完善制度建设。</w:t>
      </w:r>
      <w:r>
        <w:rPr>
          <w:rFonts w:hint="eastAsia" w:ascii="仿宋_GB2312" w:hAnsi="仿宋" w:eastAsia="仿宋_GB2312"/>
          <w:sz w:val="32"/>
          <w:szCs w:val="32"/>
        </w:rPr>
        <w:t>制定完善预算绩效管理制度、资金管理办法、工作保障制度等，为全年预算绩效目标的实现奠定制度基础。</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加强支出管理。</w:t>
      </w:r>
      <w:r>
        <w:rPr>
          <w:rFonts w:hint="eastAsia" w:ascii="仿宋_GB2312" w:hAnsi="仿宋" w:eastAsia="仿宋_GB2312"/>
          <w:sz w:val="32"/>
          <w:szCs w:val="32"/>
        </w:rPr>
        <w:t>通过优化支出结构、编细编实预算、加快履行政府采购手续、尽快启动项目、及时支付资金、</w:t>
      </w:r>
      <w:r>
        <w:rPr>
          <w:rFonts w:ascii="仿宋_GB2312" w:hAnsi="仿宋" w:eastAsia="仿宋_GB2312"/>
          <w:sz w:val="32"/>
          <w:szCs w:val="32"/>
        </w:rPr>
        <w:t>6</w:t>
      </w:r>
      <w:r>
        <w:rPr>
          <w:rFonts w:hint="eastAsia" w:ascii="仿宋_GB2312" w:hAnsi="仿宋" w:eastAsia="仿宋_GB2312"/>
          <w:sz w:val="32"/>
          <w:szCs w:val="32"/>
        </w:rPr>
        <w:t>月底前细化代编预算、按规定及时下达资金等多种措施，确保支出进度达标。</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加强绩效运行监控。</w:t>
      </w:r>
      <w:r>
        <w:rPr>
          <w:rFonts w:hint="eastAsia" w:ascii="仿宋_GB2312" w:hAnsi="仿宋" w:eastAsia="仿宋_GB2312"/>
          <w:sz w:val="32"/>
          <w:szCs w:val="32"/>
        </w:rPr>
        <w:t>按要求开展绩效运行监控，发现问题及时采取措施，确保绩效目标如期保质实现。</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做好绩效自评。</w:t>
      </w:r>
      <w:r>
        <w:rPr>
          <w:rFonts w:hint="eastAsia" w:ascii="仿宋_GB2312" w:hAnsi="仿宋" w:eastAsia="仿宋_GB2312"/>
          <w:sz w:val="32"/>
          <w:szCs w:val="32"/>
        </w:rPr>
        <w:t>按要求开展上年度部门预算绩效自评和重点评价工作，对评价中发现的问题及时整改，调整优化支出结构，提高财政资金使用效益。</w:t>
      </w:r>
    </w:p>
    <w:p>
      <w:pPr>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规范财务资产管理。</w:t>
      </w:r>
      <w:r>
        <w:rPr>
          <w:rFonts w:hint="eastAsia" w:ascii="仿宋_GB2312" w:hAnsi="仿宋" w:eastAsia="仿宋_GB2312"/>
          <w:sz w:val="32"/>
          <w:szCs w:val="32"/>
        </w:rPr>
        <w:t>完善财务管理制度，严格审批程序，加强固定资产登记、使用和的报废处置管理，做到支出合理，物尽其用。</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加强内部监督。</w:t>
      </w:r>
      <w:r>
        <w:rPr>
          <w:rFonts w:hint="eastAsia" w:ascii="仿宋_GB2312" w:hAnsi="仿宋"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43" w:firstLineChars="200"/>
        <w:rPr>
          <w:rFonts w:ascii="仿宋" w:hAnsi="仿宋" w:eastAsia="仿宋"/>
          <w:sz w:val="32"/>
          <w:szCs w:val="32"/>
        </w:rPr>
      </w:pPr>
      <w:r>
        <w:rPr>
          <w:rFonts w:hint="eastAsia" w:ascii="仿宋_GB2312" w:hAnsi="仿宋" w:eastAsia="仿宋_GB2312"/>
          <w:b/>
          <w:bCs/>
          <w:sz w:val="32"/>
          <w:szCs w:val="32"/>
        </w:rPr>
        <w:t>加强宣传培训调研。</w:t>
      </w:r>
      <w:r>
        <w:rPr>
          <w:rFonts w:hint="eastAsia" w:ascii="仿宋_GB2312" w:hAnsi="仿宋" w:eastAsia="仿宋_GB2312"/>
          <w:sz w:val="32"/>
          <w:szCs w:val="32"/>
        </w:rPr>
        <w:t>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883" w:type="dxa"/>
        <w:tblInd w:w="0" w:type="dxa"/>
        <w:tblLayout w:type="fixed"/>
        <w:tblCellMar>
          <w:top w:w="0" w:type="dxa"/>
          <w:left w:w="0" w:type="dxa"/>
          <w:bottom w:w="0" w:type="dxa"/>
          <w:right w:w="0" w:type="dxa"/>
        </w:tblCellMar>
      </w:tblPr>
      <w:tblGrid>
        <w:gridCol w:w="1229"/>
        <w:gridCol w:w="781"/>
        <w:gridCol w:w="1050"/>
        <w:gridCol w:w="2097"/>
        <w:gridCol w:w="3025"/>
        <w:gridCol w:w="827"/>
        <w:gridCol w:w="979"/>
        <w:gridCol w:w="1665"/>
        <w:gridCol w:w="2230"/>
      </w:tblGrid>
      <w:tr>
        <w:tblPrEx>
          <w:tblCellMar>
            <w:top w:w="0" w:type="dxa"/>
            <w:left w:w="0" w:type="dxa"/>
            <w:bottom w:w="0" w:type="dxa"/>
            <w:right w:w="0" w:type="dxa"/>
          </w:tblCellMar>
        </w:tblPrEx>
        <w:trPr>
          <w:trHeight w:val="600" w:hRule="atLeast"/>
        </w:trPr>
        <w:tc>
          <w:tcPr>
            <w:tcW w:w="13883" w:type="dxa"/>
            <w:gridSpan w:val="9"/>
            <w:tcBorders>
              <w:top w:val="nil"/>
              <w:left w:val="nil"/>
              <w:bottom w:val="nil"/>
              <w:right w:val="nil"/>
            </w:tcBorders>
            <w:shd w:val="clear" w:color="auto" w:fill="D3DCE9"/>
            <w:tcMar>
              <w:top w:w="15" w:type="dxa"/>
              <w:left w:w="15" w:type="dxa"/>
              <w:right w:w="15" w:type="dxa"/>
            </w:tcMar>
            <w:vAlign w:val="center"/>
          </w:tcPr>
          <w:p>
            <w:pPr>
              <w:widowControl/>
              <w:jc w:val="center"/>
              <w:textAlignment w:val="center"/>
              <w:rPr>
                <w:rFonts w:ascii="宋体" w:cs="宋体"/>
                <w:color w:val="000000"/>
                <w:sz w:val="43"/>
                <w:szCs w:val="43"/>
              </w:rPr>
            </w:pPr>
            <w:r>
              <w:rPr>
                <w:rFonts w:hint="eastAsia" w:ascii="宋体" w:hAnsi="宋体" w:cs="宋体"/>
                <w:color w:val="000000"/>
                <w:kern w:val="0"/>
                <w:sz w:val="43"/>
                <w:szCs w:val="43"/>
              </w:rPr>
              <w:t>部门整体支出绩效指标情况</w:t>
            </w:r>
          </w:p>
        </w:tc>
      </w:tr>
      <w:tr>
        <w:tblPrEx>
          <w:tblCellMar>
            <w:top w:w="0" w:type="dxa"/>
            <w:left w:w="0" w:type="dxa"/>
            <w:bottom w:w="0" w:type="dxa"/>
            <w:right w:w="0" w:type="dxa"/>
          </w:tblCellMar>
        </w:tblPrEx>
        <w:trPr>
          <w:trHeight w:val="375"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7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二级指标</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三级指标</w:t>
            </w:r>
          </w:p>
        </w:tc>
        <w:tc>
          <w:tcPr>
            <w:tcW w:w="20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绩效指标描述</w:t>
            </w:r>
          </w:p>
        </w:tc>
        <w:tc>
          <w:tcPr>
            <w:tcW w:w="30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347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指标值确定依据</w:t>
            </w:r>
          </w:p>
        </w:tc>
      </w:tr>
      <w:tr>
        <w:tblPrEx>
          <w:tblCellMar>
            <w:top w:w="0" w:type="dxa"/>
            <w:left w:w="0" w:type="dxa"/>
            <w:bottom w:w="0" w:type="dxa"/>
            <w:right w:w="0" w:type="dxa"/>
          </w:tblCellMar>
        </w:tblPrEx>
        <w:trPr>
          <w:trHeight w:val="3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20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c>
          <w:tcPr>
            <w:tcW w:w="30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符号</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值</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单位（文字描述）</w:t>
            </w:r>
          </w:p>
        </w:tc>
        <w:tc>
          <w:tcPr>
            <w:tcW w:w="223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p>
        </w:tc>
      </w:tr>
      <w:tr>
        <w:tblPrEx>
          <w:tblCellMar>
            <w:top w:w="0" w:type="dxa"/>
            <w:left w:w="0" w:type="dxa"/>
            <w:bottom w:w="0" w:type="dxa"/>
            <w:right w:w="0" w:type="dxa"/>
          </w:tblCellMar>
        </w:tblPrEx>
        <w:trPr>
          <w:trHeight w:val="735"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产出指标</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数量指标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灭火救援完成数</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全年灭火救援完成率</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ind w:left="-435" w:leftChars="-207" w:firstLine="354" w:firstLineChars="197"/>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6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质量指标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工作完成质量</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完成工作任务数占总工作任务数的比率</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95</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76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完成时间</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预算使用完成时间完成</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文字描述</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2022年12月31日前完成</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76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时效指标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出警及时性</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　反映出警及时情况</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分钟</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630"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成本指标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预算总成本　</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预算总成本数</w:t>
            </w:r>
          </w:p>
        </w:tc>
        <w:tc>
          <w:tcPr>
            <w:tcW w:w="3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实际完成比例*分值</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350</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万元</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381" w:hRule="atLeast"/>
        </w:trPr>
        <w:tc>
          <w:tcPr>
            <w:tcW w:w="12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效益指标</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r>
              <w:rPr>
                <w:rFonts w:hint="eastAsia" w:ascii="方正书宋_GBK" w:eastAsia="方正书宋_GBK"/>
                <w:b/>
              </w:rPr>
              <w:t>社会效益指标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灭火救援水平提升情况</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是否提升了灭火救援水平</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提升明显，得100%权重分；提升效果一般，得60%权重分；未提升，不得分。</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文字描述</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提升</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计划标准</w:t>
            </w:r>
          </w:p>
        </w:tc>
      </w:tr>
      <w:tr>
        <w:tblPrEx>
          <w:tblCellMar>
            <w:top w:w="0" w:type="dxa"/>
            <w:left w:w="0" w:type="dxa"/>
            <w:bottom w:w="0" w:type="dxa"/>
            <w:right w:w="0" w:type="dxa"/>
          </w:tblCellMar>
        </w:tblPrEx>
        <w:trPr>
          <w:trHeight w:val="375" w:hRule="atLeast"/>
        </w:trPr>
        <w:tc>
          <w:tcPr>
            <w:tcW w:w="12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ascii="方正书宋_GBK" w:eastAsia="方正书宋_GBK"/>
                <w:b/>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sz w:val="18"/>
                <w:szCs w:val="18"/>
              </w:rPr>
            </w:pPr>
          </w:p>
        </w:tc>
      </w:tr>
      <w:tr>
        <w:tblPrEx>
          <w:tblCellMar>
            <w:top w:w="0" w:type="dxa"/>
            <w:left w:w="0" w:type="dxa"/>
            <w:bottom w:w="0" w:type="dxa"/>
            <w:right w:w="0" w:type="dxa"/>
          </w:tblCellMar>
        </w:tblPrEx>
        <w:trPr>
          <w:trHeight w:val="54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满意度指标</w:t>
            </w:r>
          </w:p>
        </w:tc>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ascii="方正书宋_GBK" w:eastAsia="方正书宋_GBK"/>
                <w:b/>
              </w:rPr>
            </w:pPr>
            <w:r>
              <w:rPr>
                <w:rFonts w:hint="eastAsia" w:ascii="方正书宋_GBK" w:eastAsia="方正书宋_GBK"/>
                <w:b/>
              </w:rPr>
              <w:t>服务对象满意度指标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rPr>
                <w:rFonts w:hint="eastAsia" w:ascii="仿宋" w:hAnsi="仿宋" w:eastAsia="仿宋" w:cs="仿宋"/>
                <w:b/>
                <w:sz w:val="18"/>
                <w:szCs w:val="18"/>
              </w:rPr>
            </w:pPr>
            <w:r>
              <w:rPr>
                <w:rFonts w:hint="eastAsia" w:ascii="仿宋" w:hAnsi="仿宋" w:eastAsia="仿宋" w:cs="仿宋"/>
                <w:b/>
                <w:sz w:val="18"/>
                <w:szCs w:val="18"/>
              </w:rPr>
              <w:t>服务对象满意度（%）</w:t>
            </w:r>
          </w:p>
        </w:tc>
        <w:tc>
          <w:tcPr>
            <w:tcW w:w="2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调查满意的人数占调查总人数的比率</w:t>
            </w:r>
          </w:p>
        </w:tc>
        <w:tc>
          <w:tcPr>
            <w:tcW w:w="3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调查问卷</w:t>
            </w:r>
          </w:p>
        </w:tc>
        <w:tc>
          <w:tcPr>
            <w:tcW w:w="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95</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2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hint="eastAsia" w:ascii="仿宋" w:hAnsi="仿宋" w:eastAsia="仿宋" w:cs="仿宋"/>
                <w:color w:val="000000"/>
                <w:sz w:val="18"/>
                <w:szCs w:val="18"/>
              </w:rPr>
            </w:pPr>
            <w:r>
              <w:rPr>
                <w:rFonts w:hint="eastAsia" w:ascii="仿宋" w:hAnsi="仿宋" w:eastAsia="仿宋" w:cs="仿宋"/>
                <w:color w:val="000000"/>
                <w:sz w:val="18"/>
                <w:szCs w:val="18"/>
              </w:rPr>
              <w:t>其他标准</w:t>
            </w:r>
          </w:p>
        </w:tc>
      </w:tr>
    </w:tbl>
    <w:p>
      <w:p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spacing w:line="584"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1、被装费项目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3"/>
        <w:gridCol w:w="1670"/>
        <w:gridCol w:w="2112"/>
        <w:gridCol w:w="4094"/>
        <w:gridCol w:w="862"/>
        <w:gridCol w:w="459"/>
        <w:gridCol w:w="1514"/>
        <w:gridCol w:w="118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29"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3"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完成2023年专职人员新式服装、被褥等被装购置，规范消防救援队伍建设管理，统一着装。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购置被装数量保障人数</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新增购置的被装保障人数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购置被装保障及时率（%）</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购置被装数占时有人数的比率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购置对业务保障能力的提升情况</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spacing w:line="584" w:lineRule="exact"/>
        <w:ind w:firstLine="640" w:firstLineChars="200"/>
        <w:rPr>
          <w:rFonts w:hint="eastAsia" w:ascii="仿宋" w:hAnsi="仿宋" w:eastAsia="仿宋" w:cs="仿宋"/>
          <w:sz w:val="32"/>
          <w:szCs w:val="32"/>
          <w:lang w:val="en-US" w:eastAsia="zh-CN"/>
        </w:rPr>
      </w:pPr>
    </w:p>
    <w:p>
      <w:pPr>
        <w:spacing w:line="584"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2、车辆运行维护费项目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84"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根据车辆日常消耗，按照标准每月对灭火、救援执勤车辆及监督检查车辆的经费支出予以保障。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保障车辆数量（部）</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保障车辆数量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车辆运行保障对业务保障能力的提升情况</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r>
    </w:tbl>
    <w:p>
      <w:pPr>
        <w:spacing w:line="584" w:lineRule="exact"/>
        <w:ind w:firstLine="640" w:firstLineChars="200"/>
        <w:rPr>
          <w:rFonts w:hint="eastAsia" w:ascii="仿宋_GB2312" w:hAnsi="仿宋" w:eastAsia="仿宋_GB2312"/>
          <w:sz w:val="32"/>
          <w:szCs w:val="32"/>
          <w:lang w:val="en-US" w:eastAsia="zh-CN"/>
        </w:rPr>
      </w:pPr>
      <w:r>
        <w:rPr>
          <w:rFonts w:hint="eastAsia" w:ascii="仿宋" w:hAnsi="仿宋" w:eastAsia="仿宋" w:cs="仿宋"/>
          <w:sz w:val="32"/>
          <w:szCs w:val="32"/>
          <w:lang w:val="en-US" w:eastAsia="zh-CN"/>
        </w:rPr>
        <w:t>3、</w:t>
      </w:r>
      <w:r>
        <w:rPr>
          <w:rFonts w:hint="eastAsia" w:ascii="仿宋_GB2312" w:hAnsi="仿宋" w:eastAsia="仿宋_GB2312"/>
          <w:sz w:val="32"/>
          <w:szCs w:val="32"/>
          <w:lang w:val="en-US" w:eastAsia="zh-CN"/>
        </w:rPr>
        <w:t>伙食费项目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kern w:val="0"/>
                <w:sz w:val="22"/>
                <w:szCs w:val="22"/>
                <w:u w:val="none"/>
                <w:lang w:val="en-US" w:eastAsia="zh-CN" w:bidi="ar"/>
              </w:rPr>
            </w:pPr>
          </w:p>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84"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使全体全体专职消防人员的基本生活得以保障，安心为全县人民生命财产安全保驾护航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9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通过伙食经费保障完成执法执勤情况</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使用人满意度</w:t>
            </w:r>
          </w:p>
        </w:tc>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计划标准</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计划标准</w:t>
            </w:r>
          </w:p>
        </w:tc>
      </w:tr>
    </w:tbl>
    <w:p>
      <w:pPr>
        <w:spacing w:line="584" w:lineRule="exact"/>
        <w:ind w:firstLine="640" w:firstLineChars="200"/>
        <w:rPr>
          <w:rFonts w:hint="default" w:ascii="仿宋" w:hAnsi="仿宋" w:eastAsia="仿宋" w:cs="仿宋"/>
          <w:sz w:val="32"/>
          <w:szCs w:val="32"/>
          <w:lang w:val="en-US" w:eastAsia="zh-CN"/>
        </w:rPr>
      </w:pPr>
    </w:p>
    <w:p>
      <w:pPr>
        <w:numPr>
          <w:ilvl w:val="0"/>
          <w:numId w:val="1"/>
        </w:numPr>
        <w:spacing w:line="584" w:lineRule="exact"/>
        <w:ind w:left="20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救火专用泡沫项目</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755"/>
        <w:gridCol w:w="1926"/>
        <w:gridCol w:w="3807"/>
        <w:gridCol w:w="900"/>
        <w:gridCol w:w="476"/>
        <w:gridCol w:w="1584"/>
        <w:gridCol w:w="124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39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提升永清县消防救援大队油气类火灾扑救的处置能力，降低全县范围内此类火灾造成的损失。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购置灭火剂数量</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新增购置的灭火剂数量</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购置验收通过率</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通过验收的购置数量占购置总数量的比率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单位购置成本</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购置总成本与购置数量的比值</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灭火剂购置对业务保障能力的提升情况</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spacing w:line="584" w:lineRule="exact"/>
        <w:rPr>
          <w:rFonts w:hint="default" w:ascii="仿宋_GB2312" w:hAnsi="仿宋" w:eastAsia="仿宋_GB2312"/>
          <w:sz w:val="32"/>
          <w:szCs w:val="32"/>
          <w:lang w:val="en-US" w:eastAsia="zh-CN"/>
        </w:rPr>
      </w:pPr>
    </w:p>
    <w:p>
      <w:pPr>
        <w:spacing w:line="56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eastAsia" w:ascii="仿宋_GB2312" w:hAnsi="仿宋" w:eastAsia="仿宋_GB2312"/>
          <w:sz w:val="32"/>
          <w:szCs w:val="32"/>
          <w:lang w:val="en-US" w:eastAsia="zh-CN"/>
        </w:rPr>
        <w:t>人身意外险项目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713"/>
        <w:gridCol w:w="1713"/>
        <w:gridCol w:w="4208"/>
        <w:gridCol w:w="881"/>
        <w:gridCol w:w="469"/>
        <w:gridCol w:w="1547"/>
        <w:gridCol w:w="1214"/>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29"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使全体全体专职消防人员的生活与生命安全得以保障，安心为全县人民生命财产安全保驾护航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通过业务经费保障完成执法执勤情况</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ind w:left="840" w:leftChars="0"/>
        <w:jc w:val="lef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lang w:eastAsia="zh-CN"/>
        </w:rPr>
        <w:t>消防器材、个人防护装备项目</w:t>
      </w:r>
    </w:p>
    <w:tbl>
      <w:tblPr>
        <w:tblStyle w:val="8"/>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1708"/>
        <w:gridCol w:w="1874"/>
        <w:gridCol w:w="4029"/>
        <w:gridCol w:w="879"/>
        <w:gridCol w:w="511"/>
        <w:gridCol w:w="1542"/>
        <w:gridCol w:w="1211"/>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30"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28"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确保灭火救援的顺利进行，适应新时期应急和灭火救援工作需要，稳定全县火灾形势。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购置器材数量</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新增购置的器材数量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购置质量合格率（%）</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购置质量合格的数量占购置总数量的比率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购置验收通过时间</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购买器材、装备通过验收的购置时间</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6月底前完成</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单位购置成本</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购置总成本与购置数量的比值</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保障完成灭火执勤率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业务保障能力提升情况</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购置器材、个人防护装备对业务保障能力的提升情况</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持续发挥年限</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购置器材、个人防护装备使用年限</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jc w:val="left"/>
        <w:rPr>
          <w:rFonts w:hint="eastAsia" w:ascii="仿宋_GB2312" w:hAnsi="仿宋" w:eastAsia="仿宋_GB2312"/>
          <w:b w:val="0"/>
          <w:bCs w:val="0"/>
          <w:sz w:val="32"/>
          <w:szCs w:val="32"/>
          <w:lang w:eastAsia="zh-CN"/>
        </w:rPr>
      </w:pPr>
    </w:p>
    <w:p>
      <w:pPr>
        <w:numPr>
          <w:ilvl w:val="0"/>
          <w:numId w:val="2"/>
        </w:numPr>
        <w:autoSpaceDE w:val="0"/>
        <w:autoSpaceDN w:val="0"/>
        <w:adjustRightInd w:val="0"/>
        <w:spacing w:line="584" w:lineRule="exact"/>
        <w:ind w:leftChars="200" w:firstLine="320" w:firstLineChars="100"/>
        <w:jc w:val="left"/>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综合业务经费（运转保障）项目</w:t>
      </w:r>
    </w:p>
    <w:tbl>
      <w:tblPr>
        <w:tblStyle w:val="8"/>
        <w:tblW w:w="48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3"/>
        <w:gridCol w:w="1688"/>
        <w:gridCol w:w="1688"/>
        <w:gridCol w:w="4141"/>
        <w:gridCol w:w="870"/>
        <w:gridCol w:w="672"/>
        <w:gridCol w:w="1524"/>
        <w:gridCol w:w="119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634" w:type="pct"/>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中长期目标（2023年-2023年）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Arial" w:hAnsi="Arial" w:eastAsia="宋体" w:cs="Arial"/>
                <w:b/>
                <w:bCs/>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0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保障我单位全年职能所需的经常性、消耗支出，确保火灾预防、扑救和应急救援、维稳处突等工作任务顺利完成。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4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4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保障执行人数（人）</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保障执行人的质量</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保障执行经费的人数占的比率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项目资金到位及时性</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项目资金拨付支出是否及时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按工作计划执行</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项目成本控制</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实际到达单位的项目资金金额与计划投入资金的比率。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169.74</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保障完成执法执勤</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通过业务经费保障完成执法执勤情况</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以上年提升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生态效益保障率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制度保障健全程度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以后年度本项目继续实施的制度保障健全程度</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使用人满意度</w:t>
            </w:r>
          </w:p>
        </w:tc>
        <w:tc>
          <w:tcPr>
            <w:tcW w:w="145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使用人满意和较满意的数量占调查总人数的比率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计划标准</w:t>
            </w:r>
          </w:p>
        </w:tc>
      </w:tr>
    </w:tbl>
    <w:p>
      <w:pPr>
        <w:numPr>
          <w:ilvl w:val="0"/>
          <w:numId w:val="0"/>
        </w:numPr>
        <w:autoSpaceDE w:val="0"/>
        <w:autoSpaceDN w:val="0"/>
        <w:adjustRightInd w:val="0"/>
        <w:spacing w:line="584" w:lineRule="exact"/>
        <w:ind w:left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9"/>
            </w:pPr>
            <w:bookmarkStart w:id="0" w:name="_Toc471398468"/>
            <w:r>
              <w:t>政府采购项目来源</w:t>
            </w:r>
          </w:p>
        </w:tc>
        <w:tc>
          <w:tcPr>
            <w:tcW w:w="1134" w:type="dxa"/>
            <w:vMerge w:val="restart"/>
            <w:vAlign w:val="center"/>
          </w:tcPr>
          <w:p>
            <w:pPr>
              <w:pStyle w:val="19"/>
            </w:pPr>
            <w:r>
              <w:t>采购物品名称</w:t>
            </w:r>
          </w:p>
        </w:tc>
        <w:tc>
          <w:tcPr>
            <w:tcW w:w="1134" w:type="dxa"/>
            <w:vMerge w:val="restart"/>
            <w:vAlign w:val="center"/>
          </w:tcPr>
          <w:p>
            <w:pPr>
              <w:pStyle w:val="19"/>
            </w:pPr>
            <w:r>
              <w:t>政府采购目录序号</w:t>
            </w:r>
          </w:p>
        </w:tc>
        <w:tc>
          <w:tcPr>
            <w:tcW w:w="709" w:type="dxa"/>
            <w:vMerge w:val="restart"/>
            <w:vAlign w:val="center"/>
          </w:tcPr>
          <w:p>
            <w:pPr>
              <w:pStyle w:val="19"/>
            </w:pPr>
            <w:r>
              <w:t>计量  单位</w:t>
            </w:r>
          </w:p>
        </w:tc>
        <w:tc>
          <w:tcPr>
            <w:tcW w:w="850" w:type="dxa"/>
            <w:vMerge w:val="restart"/>
            <w:vAlign w:val="center"/>
          </w:tcPr>
          <w:p>
            <w:pPr>
              <w:pStyle w:val="19"/>
            </w:pPr>
            <w:r>
              <w:t>数量</w:t>
            </w:r>
          </w:p>
        </w:tc>
        <w:tc>
          <w:tcPr>
            <w:tcW w:w="850" w:type="dxa"/>
            <w:vMerge w:val="restart"/>
            <w:vAlign w:val="center"/>
          </w:tcPr>
          <w:p>
            <w:pPr>
              <w:pStyle w:val="19"/>
            </w:pPr>
            <w:r>
              <w:t>单价</w:t>
            </w:r>
          </w:p>
        </w:tc>
        <w:tc>
          <w:tcPr>
            <w:tcW w:w="7712" w:type="dxa"/>
            <w:gridSpan w:val="8"/>
            <w:vAlign w:val="center"/>
          </w:tcPr>
          <w:p>
            <w:pPr>
              <w:pStyle w:val="19"/>
            </w:pPr>
            <w:r>
              <w:t>政府采购金额（当年部门预算安排资金）</w:t>
            </w:r>
          </w:p>
        </w:tc>
        <w:tc>
          <w:tcPr>
            <w:tcW w:w="964" w:type="dxa"/>
            <w:vMerge w:val="restart"/>
            <w:vAlign w:val="center"/>
          </w:tcPr>
          <w:p>
            <w:pPr>
              <w:pStyle w:val="1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9"/>
            </w:pPr>
            <w:r>
              <w:t>项目名称</w:t>
            </w:r>
          </w:p>
        </w:tc>
        <w:tc>
          <w:tcPr>
            <w:tcW w:w="964" w:type="dxa"/>
            <w:vAlign w:val="center"/>
          </w:tcPr>
          <w:p>
            <w:pPr>
              <w:pStyle w:val="1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t>合计</w:t>
            </w:r>
          </w:p>
        </w:tc>
        <w:tc>
          <w:tcPr>
            <w:tcW w:w="964" w:type="dxa"/>
            <w:vAlign w:val="center"/>
          </w:tcPr>
          <w:p>
            <w:pPr>
              <w:pStyle w:val="19"/>
            </w:pPr>
            <w:r>
              <w:t>一般公共预算拨款</w:t>
            </w:r>
          </w:p>
        </w:tc>
        <w:tc>
          <w:tcPr>
            <w:tcW w:w="964" w:type="dxa"/>
            <w:vAlign w:val="center"/>
          </w:tcPr>
          <w:p>
            <w:pPr>
              <w:pStyle w:val="19"/>
            </w:pPr>
            <w:r>
              <w:t>基金预算拨款</w:t>
            </w:r>
          </w:p>
        </w:tc>
        <w:tc>
          <w:tcPr>
            <w:tcW w:w="964" w:type="dxa"/>
            <w:vAlign w:val="center"/>
          </w:tcPr>
          <w:p>
            <w:pPr>
              <w:pStyle w:val="19"/>
            </w:pPr>
            <w:r>
              <w:t>国有资本经营预算拨款</w:t>
            </w:r>
          </w:p>
        </w:tc>
        <w:tc>
          <w:tcPr>
            <w:tcW w:w="964" w:type="dxa"/>
            <w:vAlign w:val="center"/>
          </w:tcPr>
          <w:p>
            <w:pPr>
              <w:pStyle w:val="19"/>
            </w:pPr>
            <w:r>
              <w:t>财政专户核拨</w:t>
            </w:r>
          </w:p>
        </w:tc>
        <w:tc>
          <w:tcPr>
            <w:tcW w:w="964" w:type="dxa"/>
            <w:vAlign w:val="center"/>
          </w:tcPr>
          <w:p>
            <w:pPr>
              <w:pStyle w:val="19"/>
            </w:pPr>
            <w:r>
              <w:t>单位    资金</w:t>
            </w:r>
          </w:p>
        </w:tc>
        <w:tc>
          <w:tcPr>
            <w:tcW w:w="964" w:type="dxa"/>
            <w:vAlign w:val="center"/>
          </w:tcPr>
          <w:p>
            <w:pPr>
              <w:pStyle w:val="19"/>
            </w:pPr>
            <w:r>
              <w:t>财政拨    款结转</w:t>
            </w:r>
          </w:p>
        </w:tc>
        <w:tc>
          <w:tcPr>
            <w:tcW w:w="964" w:type="dxa"/>
            <w:vAlign w:val="center"/>
          </w:tcPr>
          <w:p>
            <w:pPr>
              <w:pStyle w:val="1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r>
              <w:t>合  计</w:t>
            </w:r>
          </w:p>
        </w:tc>
        <w:tc>
          <w:tcPr>
            <w:tcW w:w="964" w:type="dxa"/>
            <w:vAlign w:val="center"/>
          </w:tcPr>
          <w:p>
            <w:pPr>
              <w:pStyle w:val="22"/>
              <w:rPr>
                <w:rFonts w:hint="eastAsia" w:eastAsia="方正书宋_GBK"/>
                <w:lang w:val="en-US" w:eastAsia="zh-CN"/>
              </w:rPr>
            </w:pPr>
          </w:p>
        </w:tc>
        <w:tc>
          <w:tcPr>
            <w:tcW w:w="1134" w:type="dxa"/>
            <w:vAlign w:val="center"/>
          </w:tcPr>
          <w:p>
            <w:pPr>
              <w:pStyle w:val="17"/>
            </w:pPr>
          </w:p>
        </w:tc>
        <w:tc>
          <w:tcPr>
            <w:tcW w:w="1134" w:type="dxa"/>
            <w:vAlign w:val="center"/>
          </w:tcPr>
          <w:p>
            <w:pPr>
              <w:pStyle w:val="17"/>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1"/>
            </w:pPr>
          </w:p>
        </w:tc>
        <w:tc>
          <w:tcPr>
            <w:tcW w:w="964" w:type="dxa"/>
            <w:vAlign w:val="center"/>
          </w:tcPr>
          <w:p>
            <w:pPr>
              <w:pStyle w:val="22"/>
            </w:pPr>
          </w:p>
        </w:tc>
        <w:tc>
          <w:tcPr>
            <w:tcW w:w="1134" w:type="dxa"/>
            <w:vAlign w:val="center"/>
          </w:tcPr>
          <w:p>
            <w:pPr>
              <w:pStyle w:val="17"/>
            </w:pPr>
          </w:p>
        </w:tc>
        <w:tc>
          <w:tcPr>
            <w:tcW w:w="1134" w:type="dxa"/>
            <w:vAlign w:val="center"/>
          </w:tcPr>
          <w:p>
            <w:pPr>
              <w:pStyle w:val="17"/>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6"/>
            </w:pPr>
          </w:p>
        </w:tc>
        <w:tc>
          <w:tcPr>
            <w:tcW w:w="1134" w:type="dxa"/>
            <w:vAlign w:val="center"/>
          </w:tcPr>
          <w:p>
            <w:pPr>
              <w:pStyle w:val="18"/>
            </w:pPr>
          </w:p>
        </w:tc>
        <w:tc>
          <w:tcPr>
            <w:tcW w:w="1134" w:type="dxa"/>
            <w:vAlign w:val="center"/>
          </w:tcPr>
          <w:p>
            <w:pPr>
              <w:pStyle w:val="18"/>
            </w:pPr>
          </w:p>
        </w:tc>
        <w:tc>
          <w:tcPr>
            <w:tcW w:w="709" w:type="dxa"/>
            <w:vAlign w:val="center"/>
          </w:tcPr>
          <w:p>
            <w:pPr>
              <w:pStyle w:val="20"/>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lang w:val="en-US" w:eastAsia="zh-CN"/>
        </w:rPr>
        <w:t>以空表列示</w:t>
      </w:r>
      <w:r>
        <w:rPr>
          <w:rFonts w:hint="eastAsia" w:ascii="Times New Roman" w:hAnsi="Times New Roman" w:eastAsia="仿宋_GB2312" w:cs="Times New Roman"/>
          <w:sz w:val="32"/>
          <w:szCs w:val="24"/>
        </w:rPr>
        <w:t>。</w:t>
      </w:r>
      <w:bookmarkEnd w:id="0"/>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永清县消防救援大队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947.645万元</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w:t>
            </w:r>
            <w:r>
              <w:rPr>
                <w:rFonts w:hint="eastAsia" w:ascii="Times New Roman" w:hAnsi="Times New Roman" w:eastAsia="仿宋_GB2312" w:cs="Times New Roman"/>
                <w:b/>
                <w:bCs/>
                <w:kern w:val="0"/>
                <w:sz w:val="32"/>
                <w:szCs w:val="32"/>
                <w:lang w:val="en-US" w:eastAsia="zh-CN"/>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val="en-US" w:eastAsia="zh-CN"/>
              </w:rPr>
              <w:t>部门</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永清县消防救援大队</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2年12月31日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947.645</w:t>
            </w: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0.245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p>
      <w:pPr>
        <w:spacing w:line="584" w:lineRule="exact"/>
      </w:pPr>
    </w:p>
    <w:sectPr>
      <w:footerReference r:id="rId3" w:type="default"/>
      <w:pgSz w:w="16838" w:h="11906" w:orient="landscape"/>
      <w:pgMar w:top="1797" w:right="1440" w:bottom="1797"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13</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8080B"/>
    <w:multiLevelType w:val="singleLevel"/>
    <w:tmpl w:val="8038080B"/>
    <w:lvl w:ilvl="0" w:tentative="0">
      <w:start w:val="7"/>
      <w:numFmt w:val="decimal"/>
      <w:suff w:val="nothing"/>
      <w:lvlText w:val="%1、"/>
      <w:lvlJc w:val="left"/>
    </w:lvl>
  </w:abstractNum>
  <w:abstractNum w:abstractNumId="1">
    <w:nsid w:val="76A0FCC5"/>
    <w:multiLevelType w:val="singleLevel"/>
    <w:tmpl w:val="76A0FCC5"/>
    <w:lvl w:ilvl="0" w:tentative="0">
      <w:start w:val="4"/>
      <w:numFmt w:val="decimal"/>
      <w:suff w:val="nothing"/>
      <w:lvlText w:val="%1、"/>
      <w:lvlJc w:val="left"/>
      <w:pPr>
        <w:ind w:left="2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1ZDhkZGM1MGQ4OWQ2NjAxNmMxMzhiN2VjYmUxNTgifQ=="/>
  </w:docVars>
  <w:rsids>
    <w:rsidRoot w:val="00D347CC"/>
    <w:rsid w:val="0002275A"/>
    <w:rsid w:val="000847DE"/>
    <w:rsid w:val="000E1AF0"/>
    <w:rsid w:val="000E3B27"/>
    <w:rsid w:val="00101BBB"/>
    <w:rsid w:val="00103DBE"/>
    <w:rsid w:val="001E61D1"/>
    <w:rsid w:val="002D561E"/>
    <w:rsid w:val="00305D76"/>
    <w:rsid w:val="00311F03"/>
    <w:rsid w:val="003149CB"/>
    <w:rsid w:val="003217F6"/>
    <w:rsid w:val="003D214B"/>
    <w:rsid w:val="003E354F"/>
    <w:rsid w:val="003F2832"/>
    <w:rsid w:val="00447F6A"/>
    <w:rsid w:val="004A54AA"/>
    <w:rsid w:val="005542C3"/>
    <w:rsid w:val="00667FBA"/>
    <w:rsid w:val="006A259C"/>
    <w:rsid w:val="006B21CA"/>
    <w:rsid w:val="00774C4D"/>
    <w:rsid w:val="007B2528"/>
    <w:rsid w:val="00814D8C"/>
    <w:rsid w:val="00822098"/>
    <w:rsid w:val="008316D7"/>
    <w:rsid w:val="008677F1"/>
    <w:rsid w:val="008F60D7"/>
    <w:rsid w:val="0090563F"/>
    <w:rsid w:val="009167DF"/>
    <w:rsid w:val="0094416D"/>
    <w:rsid w:val="009B7B83"/>
    <w:rsid w:val="009C0665"/>
    <w:rsid w:val="00A41531"/>
    <w:rsid w:val="00A46E50"/>
    <w:rsid w:val="00A64942"/>
    <w:rsid w:val="00AA7D06"/>
    <w:rsid w:val="00AE314A"/>
    <w:rsid w:val="00AE3D10"/>
    <w:rsid w:val="00B41025"/>
    <w:rsid w:val="00B44492"/>
    <w:rsid w:val="00B80935"/>
    <w:rsid w:val="00BB770F"/>
    <w:rsid w:val="00C403F3"/>
    <w:rsid w:val="00C607B5"/>
    <w:rsid w:val="00CC2CF2"/>
    <w:rsid w:val="00D347CC"/>
    <w:rsid w:val="00D475FA"/>
    <w:rsid w:val="00D70996"/>
    <w:rsid w:val="00D7188D"/>
    <w:rsid w:val="00D76390"/>
    <w:rsid w:val="00DC248A"/>
    <w:rsid w:val="00DC71DF"/>
    <w:rsid w:val="00E30528"/>
    <w:rsid w:val="00E6618F"/>
    <w:rsid w:val="00EE51ED"/>
    <w:rsid w:val="00F47546"/>
    <w:rsid w:val="00FA006B"/>
    <w:rsid w:val="00FB0FC2"/>
    <w:rsid w:val="03A50C10"/>
    <w:rsid w:val="0B973B7F"/>
    <w:rsid w:val="135856AA"/>
    <w:rsid w:val="1E875215"/>
    <w:rsid w:val="1F6317DE"/>
    <w:rsid w:val="1FE57FE0"/>
    <w:rsid w:val="3123346D"/>
    <w:rsid w:val="34F211E2"/>
    <w:rsid w:val="38F24970"/>
    <w:rsid w:val="4ACF460C"/>
    <w:rsid w:val="4B2B5B95"/>
    <w:rsid w:val="57DC2CFA"/>
    <w:rsid w:val="5FAC2AD0"/>
    <w:rsid w:val="658630FD"/>
    <w:rsid w:val="72062C6D"/>
    <w:rsid w:val="7E6A0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Header Char"/>
    <w:basedOn w:val="9"/>
    <w:link w:val="4"/>
    <w:semiHidden/>
    <w:qFormat/>
    <w:locked/>
    <w:uiPriority w:val="99"/>
    <w:rPr>
      <w:rFonts w:ascii="Calibri" w:hAnsi="Calibri" w:cs="Arial"/>
      <w:sz w:val="18"/>
      <w:szCs w:val="18"/>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Balloon Text Char"/>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locked/>
    <w:uiPriority w:val="99"/>
    <w:rPr>
      <w:rFonts w:ascii="Calibri" w:hAnsi="Calibri" w:cs="Arial"/>
      <w:sz w:val="18"/>
      <w:szCs w:val="18"/>
    </w:rPr>
  </w:style>
  <w:style w:type="paragraph" w:customStyle="1" w:styleId="16">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99"/>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8345</Words>
  <Characters>8751</Characters>
  <Lines>0</Lines>
  <Paragraphs>0</Paragraphs>
  <TotalTime>1</TotalTime>
  <ScaleCrop>false</ScaleCrop>
  <LinksUpToDate>false</LinksUpToDate>
  <CharactersWithSpaces>8801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2021-03-25T08:04:00Z</dcterms:created>
  <dc:creator>guest</dc:creator>
  <cp:lastModifiedBy>我们可不可以不忧伤</cp:lastModifiedBy>
  <cp:lastPrinted>2018-01-30T06:12:00Z</cp:lastPrinted>
  <dcterms:modified xsi:type="dcterms:W3CDTF">2023-05-17T03:26:42Z</dcterms:modified>
  <dc:title>永清县消防救援大队2021年部门预算信息公开情况说明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2B5BB700A6474697A7B2D255653038B5</vt:lpwstr>
  </property>
</Properties>
</file>