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eastAsia="方正小标宋简体" w:cs="宋体"/>
          <w:bCs/>
          <w:sz w:val="44"/>
          <w:szCs w:val="44"/>
        </w:rPr>
      </w:pPr>
      <w:r>
        <w:rPr>
          <w:rFonts w:hint="eastAsia" w:ascii="方正小标宋简体" w:hAnsi="宋体" w:eastAsia="方正小标宋简体" w:cs="宋体"/>
          <w:b w:val="0"/>
          <w:bCs/>
          <w:sz w:val="44"/>
          <w:szCs w:val="44"/>
        </w:rPr>
        <w:t>永</w:t>
      </w:r>
      <w:r>
        <w:rPr>
          <w:rFonts w:hint="eastAsia" w:ascii="方正小标宋简体" w:hAnsi="宋体" w:eastAsia="方正小标宋简体" w:cs="宋体"/>
          <w:bCs/>
          <w:sz w:val="44"/>
          <w:szCs w:val="44"/>
        </w:rPr>
        <w:t>清县</w:t>
      </w:r>
      <w:r>
        <w:rPr>
          <w:rFonts w:hint="eastAsia" w:ascii="方正小标宋简体" w:hAnsi="宋体" w:eastAsia="方正小标宋简体" w:cs="宋体"/>
          <w:b/>
          <w:sz w:val="44"/>
          <w:szCs w:val="44"/>
          <w:lang w:eastAsia="zh-CN"/>
        </w:rPr>
        <w:t>三</w:t>
      </w:r>
      <w:r>
        <w:rPr>
          <w:rFonts w:hint="eastAsia" w:ascii="方正小标宋简体" w:hAnsi="宋体" w:eastAsia="方正小标宋简体" w:cs="宋体"/>
          <w:bCs/>
          <w:sz w:val="44"/>
          <w:szCs w:val="44"/>
          <w:lang w:eastAsia="zh-CN"/>
        </w:rPr>
        <w:t>圣口乡</w:t>
      </w:r>
      <w:r>
        <w:rPr>
          <w:rFonts w:hint="eastAsia" w:ascii="方正小标宋简体" w:hAnsi="宋体" w:eastAsia="方正小标宋简体" w:cs="宋体"/>
          <w:bCs/>
          <w:sz w:val="44"/>
          <w:szCs w:val="44"/>
        </w:rPr>
        <w:t>人民政府2023年</w:t>
      </w:r>
      <w:r>
        <w:rPr>
          <w:rFonts w:hint="eastAsia" w:ascii="方正小标宋简体" w:hAnsi="宋体" w:eastAsia="方正小标宋简体" w:cs="宋体"/>
          <w:bCs/>
          <w:sz w:val="44"/>
          <w:szCs w:val="44"/>
          <w:lang w:eastAsia="zh-CN"/>
        </w:rPr>
        <w:t>单位</w:t>
      </w:r>
      <w:r>
        <w:rPr>
          <w:rFonts w:hint="eastAsia" w:ascii="方正小标宋简体" w:hAnsi="宋体" w:eastAsia="方正小标宋简体" w:cs="宋体"/>
          <w:bCs/>
          <w:sz w:val="44"/>
          <w:szCs w:val="44"/>
        </w:rPr>
        <w:t>预算信息公开</w:t>
      </w:r>
    </w:p>
    <w:p>
      <w:pPr>
        <w:ind w:firstLine="880" w:firstLineChars="200"/>
        <w:jc w:val="center"/>
        <w:rPr>
          <w:rFonts w:ascii="黑体" w:hAnsi="黑体" w:eastAsia="黑体" w:cs="黑体"/>
          <w:sz w:val="44"/>
          <w:szCs w:val="44"/>
        </w:rPr>
      </w:pPr>
    </w:p>
    <w:p>
      <w:pPr>
        <w:ind w:firstLine="640" w:firstLineChars="200"/>
        <w:rPr>
          <w:rFonts w:ascii="仿宋" w:hAnsi="仿宋" w:eastAsia="仿宋" w:cs="仿宋"/>
          <w:sz w:val="32"/>
          <w:szCs w:val="32"/>
        </w:rPr>
      </w:pPr>
      <w:r>
        <w:rPr>
          <w:rFonts w:hint="eastAsia" w:ascii="仿宋" w:hAnsi="仿宋" w:eastAsia="仿宋" w:cs="仿宋"/>
          <w:sz w:val="32"/>
          <w:szCs w:val="32"/>
        </w:rPr>
        <w:t>按照《预算法》、《地方预决算公开操作规程》和《河北省省级预算公开办法》规定，现将永清县</w:t>
      </w:r>
      <w:r>
        <w:rPr>
          <w:rFonts w:hint="eastAsia" w:ascii="仿宋" w:hAnsi="仿宋" w:eastAsia="仿宋" w:cs="仿宋"/>
          <w:sz w:val="32"/>
          <w:szCs w:val="32"/>
          <w:lang w:eastAsia="zh-CN"/>
        </w:rPr>
        <w:t>三圣口乡</w:t>
      </w:r>
      <w:r>
        <w:rPr>
          <w:rFonts w:hint="eastAsia" w:ascii="仿宋" w:hAnsi="仿宋" w:eastAsia="仿宋" w:cs="仿宋"/>
          <w:sz w:val="32"/>
          <w:szCs w:val="32"/>
        </w:rPr>
        <w:t>人民政府2023年</w:t>
      </w:r>
      <w:r>
        <w:rPr>
          <w:rFonts w:hint="eastAsia" w:ascii="仿宋" w:hAnsi="仿宋" w:eastAsia="仿宋" w:cs="仿宋"/>
          <w:sz w:val="32"/>
          <w:szCs w:val="32"/>
          <w:lang w:eastAsia="zh-CN"/>
        </w:rPr>
        <w:t>单位</w:t>
      </w:r>
      <w:r>
        <w:rPr>
          <w:rFonts w:hint="eastAsia" w:ascii="仿宋" w:hAnsi="仿宋" w:eastAsia="仿宋" w:cs="仿宋"/>
          <w:sz w:val="32"/>
          <w:szCs w:val="32"/>
        </w:rPr>
        <w:t>预算公开如下：</w:t>
      </w:r>
    </w:p>
    <w:p>
      <w:pPr>
        <w:ind w:firstLine="64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单位</w:t>
      </w:r>
      <w:r>
        <w:rPr>
          <w:rFonts w:hint="eastAsia" w:ascii="黑体" w:hAnsi="黑体" w:eastAsia="黑体" w:cs="黑体"/>
          <w:sz w:val="32"/>
          <w:szCs w:val="32"/>
        </w:rPr>
        <w:t>职责</w:t>
      </w:r>
      <w:r>
        <w:rPr>
          <w:rFonts w:hint="eastAsia" w:ascii="黑体" w:hAnsi="黑体" w:eastAsia="黑体" w:cs="黑体"/>
          <w:sz w:val="32"/>
          <w:szCs w:val="32"/>
          <w:lang w:eastAsia="zh-CN"/>
        </w:rPr>
        <w:t>、</w:t>
      </w:r>
      <w:r>
        <w:rPr>
          <w:rFonts w:hint="eastAsia" w:ascii="黑体" w:hAnsi="黑体" w:eastAsia="黑体" w:cs="黑体"/>
          <w:sz w:val="32"/>
          <w:szCs w:val="32"/>
        </w:rPr>
        <w:t>机构设置</w:t>
      </w:r>
      <w:r>
        <w:rPr>
          <w:rFonts w:hint="eastAsia" w:ascii="黑体" w:hAnsi="黑体" w:eastAsia="黑体" w:cs="黑体"/>
          <w:sz w:val="32"/>
          <w:szCs w:val="32"/>
          <w:lang w:val="en-US" w:eastAsia="zh-CN"/>
        </w:rPr>
        <w:t>等基本</w:t>
      </w:r>
      <w:r>
        <w:rPr>
          <w:rFonts w:hint="eastAsia" w:ascii="黑体" w:hAnsi="黑体" w:eastAsia="黑体" w:cs="黑体"/>
          <w:sz w:val="32"/>
          <w:szCs w:val="32"/>
        </w:rPr>
        <w:t>情况</w:t>
      </w:r>
    </w:p>
    <w:p>
      <w:pPr>
        <w:ind w:firstLine="643" w:firstLineChars="200"/>
        <w:rPr>
          <w:rFonts w:ascii="Times New Roman" w:hAnsi="Times New Roman"/>
          <w:b/>
          <w:bCs/>
          <w:kern w:val="0"/>
          <w:sz w:val="44"/>
          <w:szCs w:val="44"/>
        </w:rPr>
      </w:pPr>
      <w:r>
        <w:rPr>
          <w:rFonts w:hint="eastAsia" w:ascii="楷体" w:hAnsi="楷体" w:eastAsia="楷体" w:cs="楷体"/>
          <w:b/>
          <w:sz w:val="32"/>
          <w:szCs w:val="32"/>
          <w:lang w:eastAsia="zh-CN"/>
        </w:rPr>
        <w:t>单位</w:t>
      </w:r>
      <w:r>
        <w:rPr>
          <w:rFonts w:hint="eastAsia" w:ascii="楷体" w:hAnsi="楷体" w:eastAsia="楷体" w:cs="楷体"/>
          <w:b/>
          <w:sz w:val="32"/>
          <w:szCs w:val="32"/>
        </w:rPr>
        <w:t>职责：</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jc w:val="left"/>
        <w:rPr>
          <w:rFonts w:ascii="仿宋" w:hAnsi="仿宋" w:eastAsia="仿宋" w:cs="仿宋"/>
          <w:kern w:val="0"/>
          <w:sz w:val="32"/>
          <w:szCs w:val="32"/>
        </w:rPr>
      </w:pPr>
      <w:r>
        <w:rPr>
          <w:rFonts w:hint="eastAsia" w:ascii="仿宋" w:hAnsi="仿宋" w:eastAsia="仿宋" w:cs="仿宋"/>
          <w:kern w:val="0"/>
          <w:sz w:val="32"/>
          <w:szCs w:val="32"/>
          <w:lang w:eastAsia="zh-CN"/>
        </w:rPr>
        <w:t>三圣口乡</w:t>
      </w:r>
      <w:r>
        <w:rPr>
          <w:rFonts w:hint="eastAsia" w:ascii="仿宋" w:hAnsi="仿宋" w:eastAsia="仿宋" w:cs="仿宋"/>
          <w:kern w:val="0"/>
          <w:sz w:val="32"/>
          <w:szCs w:val="32"/>
        </w:rPr>
        <w:t>主要围绕加强党的领导、夯实基层政权，促进经济发展、增加农民收入，优化公共服务、着力改善民生，强化社会治理、维护社会稳定，推进基层民主、促进农村和谐，改善生态环境、提升</w:t>
      </w:r>
      <w:r>
        <w:rPr>
          <w:rFonts w:hint="eastAsia" w:ascii="仿宋" w:hAnsi="仿宋" w:eastAsia="仿宋" w:cs="仿宋"/>
          <w:kern w:val="0"/>
          <w:sz w:val="32"/>
          <w:szCs w:val="32"/>
          <w:lang w:eastAsia="zh-CN"/>
        </w:rPr>
        <w:t>乡</w:t>
      </w:r>
      <w:r>
        <w:rPr>
          <w:rFonts w:hint="eastAsia" w:ascii="仿宋" w:hAnsi="仿宋" w:eastAsia="仿宋" w:cs="仿宋"/>
          <w:kern w:val="0"/>
          <w:sz w:val="32"/>
          <w:szCs w:val="32"/>
        </w:rPr>
        <w:t>风文明等方面履行职能。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jc w:val="left"/>
        <w:rPr>
          <w:rFonts w:ascii="仿宋" w:hAnsi="仿宋" w:eastAsia="仿宋" w:cs="仿宋"/>
          <w:kern w:val="0"/>
          <w:sz w:val="32"/>
          <w:szCs w:val="32"/>
        </w:rPr>
      </w:pPr>
      <w:r>
        <w:rPr>
          <w:rFonts w:hint="eastAsia" w:ascii="仿宋" w:hAnsi="仿宋" w:eastAsia="仿宋" w:cs="仿宋"/>
          <w:kern w:val="0"/>
          <w:sz w:val="32"/>
          <w:szCs w:val="32"/>
          <w:lang w:eastAsia="zh-CN"/>
        </w:rPr>
        <w:t>三圣口乡</w:t>
      </w:r>
      <w:r>
        <w:rPr>
          <w:rFonts w:hint="eastAsia" w:ascii="仿宋" w:hAnsi="仿宋" w:eastAsia="仿宋" w:cs="仿宋"/>
          <w:kern w:val="0"/>
          <w:sz w:val="32"/>
          <w:szCs w:val="32"/>
        </w:rPr>
        <w:t>设置下列工作机构的职责是：</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jc w:val="left"/>
        <w:rPr>
          <w:rFonts w:ascii="仿宋" w:hAnsi="仿宋" w:eastAsia="仿宋" w:cs="仿宋"/>
          <w:kern w:val="0"/>
          <w:sz w:val="32"/>
          <w:szCs w:val="32"/>
        </w:rPr>
      </w:pPr>
      <w:r>
        <w:rPr>
          <w:rFonts w:hint="eastAsia" w:ascii="仿宋" w:hAnsi="仿宋" w:eastAsia="仿宋" w:cs="仿宋"/>
          <w:b/>
          <w:bCs/>
          <w:kern w:val="0"/>
          <w:sz w:val="32"/>
          <w:szCs w:val="32"/>
        </w:rPr>
        <w:t>一、党政综合办公室（财政所）。</w:t>
      </w:r>
      <w:r>
        <w:rPr>
          <w:rFonts w:hint="eastAsia" w:ascii="仿宋" w:hAnsi="仿宋" w:eastAsia="仿宋" w:cs="仿宋"/>
          <w:kern w:val="0"/>
          <w:sz w:val="32"/>
          <w:szCs w:val="32"/>
        </w:rPr>
        <w:t>负责党委、政府日常事务；负责</w:t>
      </w:r>
      <w:r>
        <w:rPr>
          <w:rFonts w:hint="eastAsia" w:ascii="仿宋" w:hAnsi="仿宋" w:eastAsia="仿宋" w:cs="仿宋"/>
          <w:kern w:val="0"/>
          <w:sz w:val="32"/>
          <w:szCs w:val="32"/>
          <w:lang w:eastAsia="zh-CN"/>
        </w:rPr>
        <w:t>乡</w:t>
      </w:r>
      <w:r>
        <w:rPr>
          <w:rFonts w:hint="eastAsia" w:ascii="仿宋" w:hAnsi="仿宋" w:eastAsia="仿宋" w:cs="仿宋"/>
          <w:kern w:val="0"/>
          <w:sz w:val="32"/>
          <w:szCs w:val="32"/>
        </w:rPr>
        <w:t>各</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的综合协调、行政事务等工作；负责文秘、会务、督查、信息、档案、保密、机要、后勤保障等日常工作；负贵财务、资产管理等方面工作；负责辖区信访维稳工作；负责辖区统计调查工作；完成党委、政府交办的其他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jc w:val="left"/>
        <w:rPr>
          <w:rFonts w:ascii="仿宋" w:hAnsi="仿宋" w:eastAsia="仿宋" w:cs="仿宋"/>
          <w:kern w:val="0"/>
          <w:sz w:val="32"/>
          <w:szCs w:val="32"/>
        </w:rPr>
      </w:pPr>
      <w:r>
        <w:rPr>
          <w:rFonts w:hint="eastAsia" w:ascii="仿宋" w:hAnsi="仿宋" w:eastAsia="仿宋" w:cs="仿宋"/>
          <w:b/>
          <w:bCs/>
          <w:kern w:val="0"/>
          <w:sz w:val="32"/>
          <w:szCs w:val="32"/>
        </w:rPr>
        <w:t>二、党建工作办公室（人大主席团办公室）。</w:t>
      </w:r>
      <w:r>
        <w:rPr>
          <w:rFonts w:hint="eastAsia" w:ascii="仿宋" w:hAnsi="仿宋" w:eastAsia="仿宋" w:cs="仿宋"/>
          <w:kern w:val="0"/>
          <w:sz w:val="32"/>
          <w:szCs w:val="32"/>
        </w:rPr>
        <w:t>负责党的政治建设、组织建设、思想宣传、精神文明建设、统战、侨务、民族宗教等方面工作；负责落实基层党建责任制,基层服务型党组织建设,区域化党建和"两新"组织党建、居民区党建,党代表联系服务等方面工作；负责人大主席团的日常工作；负责党员教育管理、干部考核、人事管理、机构编制、老干部管理等方面工作；负责工会、共青团、妇联等方面工作；负责党务公开工作；负责财务内部审计监督工作；完成党委、政府交办的其他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jc w:val="left"/>
        <w:rPr>
          <w:rFonts w:ascii="仿宋" w:hAnsi="仿宋" w:eastAsia="仿宋" w:cs="仿宋"/>
          <w:kern w:val="0"/>
          <w:sz w:val="32"/>
          <w:szCs w:val="32"/>
        </w:rPr>
      </w:pPr>
      <w:r>
        <w:rPr>
          <w:rFonts w:hint="eastAsia" w:ascii="仿宋" w:hAnsi="仿宋" w:eastAsia="仿宋" w:cs="仿宋"/>
          <w:b/>
          <w:bCs/>
          <w:kern w:val="0"/>
          <w:sz w:val="32"/>
          <w:szCs w:val="32"/>
        </w:rPr>
        <w:t>三、应急管理办公室。</w:t>
      </w:r>
      <w:r>
        <w:rPr>
          <w:rFonts w:hint="eastAsia" w:ascii="仿宋" w:hAnsi="仿宋" w:eastAsia="仿宋" w:cs="仿宋"/>
          <w:kern w:val="0"/>
          <w:sz w:val="32"/>
          <w:szCs w:val="32"/>
        </w:rPr>
        <w:t>负责辖区安全生产监督管理工作；负责辖区消防、防汛抗洪、抗旱、防灾减灾、突发事件应急处置与管理、自然灾害救助和救助款物管理、护林和森林草原防火等方面工作；按权限负责辖区食品安全、</w:t>
      </w:r>
      <w:r>
        <w:rPr>
          <w:rFonts w:hint="eastAsia" w:ascii="仿宋" w:hAnsi="仿宋" w:eastAsia="仿宋" w:cs="仿宋"/>
          <w:kern w:val="0"/>
          <w:sz w:val="32"/>
          <w:szCs w:val="32"/>
          <w:lang w:eastAsia="zh-CN"/>
        </w:rPr>
        <w:t>乡</w:t>
      </w:r>
      <w:r>
        <w:rPr>
          <w:rFonts w:hint="eastAsia" w:ascii="仿宋" w:hAnsi="仿宋" w:eastAsia="仿宋" w:cs="仿宋"/>
          <w:kern w:val="0"/>
          <w:sz w:val="32"/>
          <w:szCs w:val="32"/>
        </w:rPr>
        <w:t>村道路交通安全等方面监督管理工作；完成党委、政府交办的其他工作。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jc w:val="left"/>
        <w:rPr>
          <w:rFonts w:ascii="仿宋" w:hAnsi="仿宋" w:eastAsia="仿宋" w:cs="仿宋"/>
          <w:kern w:val="0"/>
          <w:sz w:val="32"/>
          <w:szCs w:val="32"/>
        </w:rPr>
      </w:pPr>
      <w:r>
        <w:rPr>
          <w:rFonts w:hint="eastAsia" w:ascii="仿宋" w:hAnsi="仿宋" w:eastAsia="仿宋" w:cs="仿宋"/>
          <w:b/>
          <w:bCs/>
          <w:kern w:val="0"/>
          <w:sz w:val="32"/>
          <w:szCs w:val="32"/>
        </w:rPr>
        <w:t>四、自然资源和生态环境办公室。</w:t>
      </w:r>
      <w:r>
        <w:rPr>
          <w:rFonts w:hint="eastAsia" w:ascii="仿宋" w:hAnsi="仿宋" w:eastAsia="仿宋" w:cs="仿宋"/>
          <w:kern w:val="0"/>
          <w:sz w:val="32"/>
          <w:szCs w:val="32"/>
        </w:rPr>
        <w:t>按照职责分工负责辖区自然资源和生态环境保护相关工作；负责辖区基本农田保护、土地调查、规划建设、自然资源保护和监管、全民义务植树、古树名木保护、草原建设保护；负责</w:t>
      </w:r>
      <w:r>
        <w:rPr>
          <w:rFonts w:hint="eastAsia" w:ascii="仿宋" w:hAnsi="仿宋" w:eastAsia="仿宋" w:cs="仿宋"/>
          <w:kern w:val="0"/>
          <w:sz w:val="32"/>
          <w:szCs w:val="32"/>
          <w:lang w:eastAsia="zh-CN"/>
        </w:rPr>
        <w:t>乡</w:t>
      </w:r>
      <w:r>
        <w:rPr>
          <w:rFonts w:hint="eastAsia" w:ascii="仿宋" w:hAnsi="仿宋" w:eastAsia="仿宋" w:cs="仿宋"/>
          <w:kern w:val="0"/>
          <w:sz w:val="32"/>
          <w:szCs w:val="32"/>
        </w:rPr>
        <w:t>村道路建设管理；负责农村供水用水管理工作；负责畜禽遗传保护、市容村容和环境卫生、农村生活污水管理、土壤污染防治利用、河湖水资源保护、水域岸线管理、水污染防治、水环境治理、地下水管理、大气污染防治、突发环境事件应急处置、水土保持、人居环境改善、扬尘污染防治、畜禽养殖污染防治、禁止露天焚烧秸秆、“散乱污”企业综合整治等相关工作；完成党委、政府交办的其他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jc w:val="left"/>
        <w:rPr>
          <w:rFonts w:ascii="仿宋" w:hAnsi="仿宋" w:eastAsia="仿宋" w:cs="仿宋"/>
          <w:kern w:val="0"/>
          <w:sz w:val="32"/>
          <w:szCs w:val="32"/>
        </w:rPr>
      </w:pPr>
      <w:r>
        <w:rPr>
          <w:rFonts w:hint="eastAsia" w:ascii="仿宋" w:hAnsi="仿宋" w:eastAsia="仿宋" w:cs="仿宋"/>
          <w:b/>
          <w:bCs/>
          <w:kern w:val="0"/>
          <w:sz w:val="32"/>
          <w:szCs w:val="32"/>
        </w:rPr>
        <w:t>五、综合行政执法队（综合指挥和信息化网络中心、社会治安综合治理中心）。</w:t>
      </w:r>
      <w:r>
        <w:rPr>
          <w:rFonts w:hint="eastAsia" w:ascii="仿宋" w:hAnsi="仿宋" w:eastAsia="仿宋" w:cs="仿宋"/>
          <w:kern w:val="0"/>
          <w:sz w:val="32"/>
          <w:szCs w:val="32"/>
        </w:rPr>
        <w:t>根据法律法规和省政府授权,承担辖区综合行政执法工作；负责综合指挥、信息化网络管理工作；负责信息化平台的运行管理保障；负责统筹协调指挥区域内各条块管理服务力量；负责对平台接收事项的交办、跟踪和督办；负贵区域内的信息受理、工单派发、辅助决策等工作,及时收集多种途径排查出的民生诉求、矛盾纠纷、问题隐患等信息,并进行汇总梳理、分析研判,根据事件类别和情况,派发给</w:t>
      </w:r>
      <w:r>
        <w:rPr>
          <w:rFonts w:hint="eastAsia" w:ascii="仿宋" w:hAnsi="仿宋" w:eastAsia="仿宋" w:cs="仿宋"/>
          <w:kern w:val="0"/>
          <w:sz w:val="32"/>
          <w:szCs w:val="32"/>
          <w:lang w:eastAsia="zh-CN"/>
        </w:rPr>
        <w:t>乡</w:t>
      </w:r>
      <w:r>
        <w:rPr>
          <w:rFonts w:hint="eastAsia" w:ascii="仿宋" w:hAnsi="仿宋" w:eastAsia="仿宋" w:cs="仿宋"/>
          <w:kern w:val="0"/>
          <w:sz w:val="32"/>
          <w:szCs w:val="32"/>
        </w:rPr>
        <w:t>相关职能机构进行处置,或按程序上报县级综合指挥平台处置；负贵辖区信用体系建设、社会综合治理、调解各类纠纷等相关工作；协调辖区法庭、派出所、司法所相关工作；完成党委、政府交办的其他工作。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jc w:val="left"/>
        <w:rPr>
          <w:rFonts w:ascii="仿宋" w:hAnsi="仿宋" w:eastAsia="仿宋" w:cs="仿宋"/>
          <w:kern w:val="0"/>
          <w:sz w:val="32"/>
          <w:szCs w:val="32"/>
        </w:rPr>
      </w:pPr>
      <w:r>
        <w:rPr>
          <w:rFonts w:hint="eastAsia" w:ascii="仿宋" w:hAnsi="仿宋" w:eastAsia="仿宋" w:cs="仿宋"/>
          <w:b/>
          <w:bCs/>
          <w:kern w:val="0"/>
          <w:sz w:val="32"/>
          <w:szCs w:val="32"/>
        </w:rPr>
        <w:t>六、行政综合服务中心（综合文化服务站）。</w:t>
      </w:r>
      <w:r>
        <w:rPr>
          <w:rFonts w:hint="eastAsia" w:ascii="仿宋" w:hAnsi="仿宋" w:eastAsia="仿宋" w:cs="仿宋"/>
          <w:kern w:val="0"/>
          <w:sz w:val="32"/>
          <w:szCs w:val="32"/>
        </w:rPr>
        <w:t>根据法律法规和省政府授权,承担辖区行政审批服务工作。负责辖区计划生育、社会保障、民政事务、残疾人保障、医疗保障等相关工作；负贵辖区科技、教育、体育、文化旅游、卫生健康、居家养老服务等方面工作；完成党委、政府交办的其他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jc w:val="left"/>
        <w:rPr>
          <w:rFonts w:ascii="仿宋" w:hAnsi="仿宋" w:eastAsia="仿宋" w:cs="仿宋"/>
          <w:kern w:val="0"/>
          <w:sz w:val="32"/>
          <w:szCs w:val="32"/>
        </w:rPr>
      </w:pPr>
      <w:r>
        <w:rPr>
          <w:rFonts w:hint="eastAsia" w:ascii="仿宋" w:hAnsi="仿宋" w:eastAsia="仿宋" w:cs="仿宋"/>
          <w:b/>
          <w:bCs/>
          <w:kern w:val="0"/>
          <w:sz w:val="32"/>
          <w:szCs w:val="32"/>
        </w:rPr>
        <w:t>七、农业综合服务中心（经济发展中心）。</w:t>
      </w:r>
      <w:r>
        <w:rPr>
          <w:rFonts w:hint="eastAsia" w:ascii="仿宋" w:hAnsi="仿宋" w:eastAsia="仿宋" w:cs="仿宋"/>
          <w:kern w:val="0"/>
          <w:sz w:val="32"/>
          <w:szCs w:val="32"/>
        </w:rPr>
        <w:t>负责辖区农业、畜牧、水利等方面工作；负责辖区农村扶贫开发的具体实施；负责辖区经济发展、企业服务相关工作；负责辖区村民委员会成员的任期和离任经济责任审计工作；负责辖区农村“三资”管理、村务公开等方面工作；负责辖区农村土地承包管理相关工作；按照职责分工负责辖区农民负担监管工作,组织开展农民负担专项检查；按照权限落实好农村重点改革任务；负责“气代煤”、燃气供热管理有关工作；完成党委、政府交办的其他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jc w:val="left"/>
        <w:rPr>
          <w:rFonts w:ascii="仿宋" w:hAnsi="仿宋" w:eastAsia="仿宋" w:cs="仿宋"/>
          <w:kern w:val="0"/>
          <w:sz w:val="32"/>
          <w:szCs w:val="32"/>
        </w:rPr>
      </w:pPr>
      <w:r>
        <w:rPr>
          <w:rFonts w:hint="eastAsia" w:ascii="仿宋" w:hAnsi="仿宋" w:eastAsia="仿宋" w:cs="仿宋"/>
          <w:b/>
          <w:bCs/>
          <w:kern w:val="0"/>
          <w:sz w:val="32"/>
          <w:szCs w:val="32"/>
        </w:rPr>
        <w:t>八、退役军人服务站。</w:t>
      </w:r>
      <w:r>
        <w:rPr>
          <w:rFonts w:hint="eastAsia" w:ascii="仿宋" w:hAnsi="仿宋" w:eastAsia="仿宋" w:cs="仿宋"/>
          <w:kern w:val="0"/>
          <w:sz w:val="32"/>
          <w:szCs w:val="32"/>
        </w:rPr>
        <w:t>负责依照法定权限,做好本辖区的征兵、民兵、预备役、国防教育、国民经济动员、人民防空、国防交通、国防设施保护、拥军优属、退役军人服务等工作;完成党委、政府交办的其他工作。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jc w:val="left"/>
        <w:rPr>
          <w:rFonts w:ascii="仿宋" w:hAnsi="仿宋" w:eastAsia="仿宋" w:cs="仿宋"/>
          <w:kern w:val="0"/>
          <w:sz w:val="32"/>
          <w:szCs w:val="32"/>
        </w:rPr>
      </w:pPr>
      <w:r>
        <w:rPr>
          <w:rFonts w:hint="eastAsia" w:ascii="仿宋" w:hAnsi="仿宋" w:eastAsia="仿宋" w:cs="仿宋"/>
          <w:kern w:val="0"/>
          <w:sz w:val="32"/>
          <w:szCs w:val="32"/>
        </w:rPr>
        <w:t>按照有关规定设置</w:t>
      </w:r>
      <w:r>
        <w:rPr>
          <w:rFonts w:hint="eastAsia" w:ascii="仿宋" w:hAnsi="仿宋" w:eastAsia="仿宋" w:cs="仿宋"/>
          <w:kern w:val="0"/>
          <w:sz w:val="32"/>
          <w:szCs w:val="32"/>
          <w:lang w:eastAsia="zh-CN"/>
        </w:rPr>
        <w:t>三圣口乡</w:t>
      </w:r>
      <w:r>
        <w:rPr>
          <w:rFonts w:hint="eastAsia" w:ascii="仿宋" w:hAnsi="仿宋" w:eastAsia="仿宋" w:cs="仿宋"/>
          <w:kern w:val="0"/>
          <w:sz w:val="32"/>
          <w:szCs w:val="32"/>
        </w:rPr>
        <w:t>纪委；县监察委员会向</w:t>
      </w:r>
      <w:r>
        <w:rPr>
          <w:rFonts w:hint="eastAsia" w:ascii="仿宋" w:hAnsi="仿宋" w:eastAsia="仿宋" w:cs="仿宋"/>
          <w:kern w:val="0"/>
          <w:sz w:val="32"/>
          <w:szCs w:val="32"/>
          <w:lang w:eastAsia="zh-CN"/>
        </w:rPr>
        <w:t>三圣口乡</w:t>
      </w:r>
      <w:r>
        <w:rPr>
          <w:rFonts w:hint="eastAsia" w:ascii="仿宋" w:hAnsi="仿宋" w:eastAsia="仿宋" w:cs="仿宋"/>
          <w:kern w:val="0"/>
          <w:sz w:val="32"/>
          <w:szCs w:val="32"/>
        </w:rPr>
        <w:t>派出监察办公室,与</w:t>
      </w:r>
      <w:r>
        <w:rPr>
          <w:rFonts w:hint="eastAsia" w:ascii="仿宋" w:hAnsi="仿宋" w:eastAsia="仿宋" w:cs="仿宋"/>
          <w:kern w:val="0"/>
          <w:sz w:val="32"/>
          <w:szCs w:val="32"/>
          <w:lang w:eastAsia="zh-CN"/>
        </w:rPr>
        <w:t>乡镇</w:t>
      </w:r>
      <w:r>
        <w:rPr>
          <w:rFonts w:hint="eastAsia" w:ascii="仿宋" w:hAnsi="仿宋" w:eastAsia="仿宋" w:cs="仿宋"/>
          <w:kern w:val="0"/>
          <w:sz w:val="32"/>
          <w:szCs w:val="32"/>
        </w:rPr>
        <w:t>纪委合署办公。</w:t>
      </w:r>
      <w:r>
        <w:rPr>
          <w:rFonts w:hint="eastAsia" w:ascii="仿宋" w:hAnsi="仿宋" w:eastAsia="仿宋" w:cs="仿宋"/>
          <w:kern w:val="0"/>
          <w:sz w:val="32"/>
          <w:szCs w:val="32"/>
          <w:lang w:eastAsia="zh-CN"/>
        </w:rPr>
        <w:t>三圣口乡</w:t>
      </w:r>
      <w:r>
        <w:rPr>
          <w:rFonts w:hint="eastAsia" w:ascii="仿宋" w:hAnsi="仿宋" w:eastAsia="仿宋" w:cs="仿宋"/>
          <w:kern w:val="0"/>
          <w:sz w:val="32"/>
          <w:szCs w:val="32"/>
        </w:rPr>
        <w:t>工会、共青团、妇联等群团组织按有关规定和章程设置,在</w:t>
      </w:r>
      <w:r>
        <w:rPr>
          <w:rFonts w:hint="eastAsia" w:ascii="仿宋" w:hAnsi="仿宋" w:eastAsia="仿宋" w:cs="仿宋"/>
          <w:kern w:val="0"/>
          <w:sz w:val="32"/>
          <w:szCs w:val="32"/>
          <w:lang w:eastAsia="zh-CN"/>
        </w:rPr>
        <w:t>乡</w:t>
      </w:r>
      <w:r>
        <w:rPr>
          <w:rFonts w:hint="eastAsia" w:ascii="仿宋" w:hAnsi="仿宋" w:eastAsia="仿宋" w:cs="仿宋"/>
          <w:kern w:val="0"/>
          <w:sz w:val="32"/>
          <w:szCs w:val="32"/>
        </w:rPr>
        <w:t>党委统一领导下开展工作。</w:t>
      </w:r>
    </w:p>
    <w:p/>
    <w:p>
      <w:pPr>
        <w:ind w:firstLine="643" w:firstLineChars="200"/>
        <w:rPr>
          <w:rFonts w:ascii="楷体" w:hAnsi="楷体" w:eastAsia="楷体" w:cs="楷体"/>
          <w:b/>
          <w:sz w:val="32"/>
          <w:szCs w:val="32"/>
        </w:rPr>
      </w:pPr>
      <w:r>
        <w:rPr>
          <w:rFonts w:hint="eastAsia" w:ascii="楷体" w:hAnsi="楷体" w:eastAsia="楷体" w:cs="楷体"/>
          <w:b/>
          <w:sz w:val="32"/>
          <w:szCs w:val="32"/>
        </w:rPr>
        <w:t>机构设置：</w:t>
      </w:r>
    </w:p>
    <w:p>
      <w:pPr>
        <w:jc w:val="center"/>
        <w:outlineLvl w:val="0"/>
        <w:rPr>
          <w:rFonts w:ascii="宋体" w:hAnsi="宋体" w:cs="宋体"/>
          <w:sz w:val="32"/>
          <w:szCs w:val="24"/>
        </w:rPr>
      </w:pPr>
    </w:p>
    <w:p>
      <w:pPr>
        <w:jc w:val="center"/>
        <w:outlineLvl w:val="0"/>
        <w:rPr>
          <w:rFonts w:ascii="宋体" w:hAnsi="宋体" w:cs="宋体"/>
          <w:sz w:val="32"/>
          <w:szCs w:val="24"/>
        </w:rPr>
      </w:pPr>
    </w:p>
    <w:p>
      <w:pPr>
        <w:jc w:val="center"/>
        <w:outlineLvl w:val="0"/>
        <w:rPr>
          <w:rFonts w:ascii="仿宋" w:hAnsi="仿宋" w:eastAsia="仿宋" w:cs="仿宋"/>
          <w:sz w:val="32"/>
          <w:szCs w:val="32"/>
        </w:rPr>
      </w:pPr>
      <w:r>
        <w:rPr>
          <w:rFonts w:hint="eastAsia" w:ascii="仿宋" w:hAnsi="仿宋" w:eastAsia="仿宋" w:cs="仿宋"/>
          <w:sz w:val="32"/>
          <w:szCs w:val="32"/>
          <w:lang w:eastAsia="zh-CN"/>
        </w:rPr>
        <w:t>单位</w:t>
      </w:r>
      <w:r>
        <w:rPr>
          <w:rFonts w:hint="eastAsia" w:ascii="仿宋" w:hAnsi="仿宋" w:eastAsia="仿宋" w:cs="仿宋"/>
          <w:sz w:val="32"/>
          <w:szCs w:val="32"/>
        </w:rPr>
        <w:t>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586"/>
        <w:gridCol w:w="2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单位名称</w:t>
            </w:r>
          </w:p>
        </w:tc>
        <w:tc>
          <w:tcPr>
            <w:tcW w:w="1134" w:type="dxa"/>
            <w:vMerge w:val="restart"/>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单位性质</w:t>
            </w:r>
          </w:p>
        </w:tc>
        <w:tc>
          <w:tcPr>
            <w:tcW w:w="1586" w:type="dxa"/>
            <w:vMerge w:val="restart"/>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单位规格</w:t>
            </w:r>
          </w:p>
        </w:tc>
        <w:tc>
          <w:tcPr>
            <w:tcW w:w="2592" w:type="dxa"/>
            <w:vMerge w:val="restart"/>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blHeader/>
          <w:jc w:val="center"/>
        </w:trPr>
        <w:tc>
          <w:tcPr>
            <w:tcW w:w="4443" w:type="dxa"/>
            <w:vMerge w:val="continue"/>
            <w:vAlign w:val="center"/>
          </w:tcPr>
          <w:p>
            <w:pPr>
              <w:spacing w:line="300" w:lineRule="exact"/>
              <w:jc w:val="center"/>
              <w:outlineLvl w:val="0"/>
              <w:rPr>
                <w:rFonts w:ascii="仿宋" w:hAnsi="仿宋" w:eastAsia="仿宋" w:cs="仿宋"/>
                <w:sz w:val="32"/>
                <w:szCs w:val="32"/>
              </w:rPr>
            </w:pPr>
          </w:p>
        </w:tc>
        <w:tc>
          <w:tcPr>
            <w:tcW w:w="1134" w:type="dxa"/>
            <w:vMerge w:val="continue"/>
            <w:vAlign w:val="center"/>
          </w:tcPr>
          <w:p>
            <w:pPr>
              <w:spacing w:line="300" w:lineRule="exact"/>
              <w:jc w:val="center"/>
              <w:outlineLvl w:val="0"/>
              <w:rPr>
                <w:rFonts w:ascii="仿宋" w:hAnsi="仿宋" w:eastAsia="仿宋" w:cs="仿宋"/>
                <w:sz w:val="32"/>
                <w:szCs w:val="32"/>
              </w:rPr>
            </w:pPr>
          </w:p>
        </w:tc>
        <w:tc>
          <w:tcPr>
            <w:tcW w:w="1586" w:type="dxa"/>
            <w:vMerge w:val="continue"/>
            <w:vAlign w:val="center"/>
          </w:tcPr>
          <w:p>
            <w:pPr>
              <w:spacing w:line="300" w:lineRule="exact"/>
              <w:jc w:val="center"/>
              <w:outlineLvl w:val="0"/>
              <w:rPr>
                <w:rFonts w:ascii="仿宋" w:hAnsi="仿宋" w:eastAsia="仿宋" w:cs="仿宋"/>
                <w:sz w:val="32"/>
                <w:szCs w:val="32"/>
              </w:rPr>
            </w:pPr>
          </w:p>
        </w:tc>
        <w:tc>
          <w:tcPr>
            <w:tcW w:w="2592" w:type="dxa"/>
            <w:vMerge w:val="continue"/>
            <w:vAlign w:val="center"/>
          </w:tcPr>
          <w:p>
            <w:pPr>
              <w:spacing w:line="300" w:lineRule="exact"/>
              <w:jc w:val="center"/>
              <w:outlineLvl w:val="0"/>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4443"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永清县</w:t>
            </w:r>
            <w:r>
              <w:rPr>
                <w:rFonts w:hint="eastAsia" w:ascii="仿宋" w:hAnsi="仿宋" w:eastAsia="仿宋" w:cs="仿宋"/>
                <w:sz w:val="32"/>
                <w:szCs w:val="32"/>
                <w:lang w:eastAsia="zh-CN"/>
              </w:rPr>
              <w:t>三圣口乡</w:t>
            </w:r>
            <w:r>
              <w:rPr>
                <w:rFonts w:hint="eastAsia" w:ascii="仿宋" w:hAnsi="仿宋" w:eastAsia="仿宋" w:cs="仿宋"/>
                <w:sz w:val="32"/>
                <w:szCs w:val="32"/>
              </w:rPr>
              <w:t>人民政府</w:t>
            </w:r>
          </w:p>
        </w:tc>
        <w:tc>
          <w:tcPr>
            <w:tcW w:w="1134"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行政</w:t>
            </w:r>
          </w:p>
        </w:tc>
        <w:tc>
          <w:tcPr>
            <w:tcW w:w="1586"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2592"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财政拨款</w:t>
            </w:r>
          </w:p>
        </w:tc>
      </w:tr>
    </w:tbl>
    <w:p>
      <w:pPr>
        <w:ind w:firstLine="640"/>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单位</w:t>
      </w:r>
      <w:r>
        <w:rPr>
          <w:rFonts w:hint="eastAsia" w:ascii="黑体" w:hAnsi="黑体" w:eastAsia="黑体" w:cs="黑体"/>
          <w:sz w:val="32"/>
          <w:szCs w:val="32"/>
        </w:rPr>
        <w:t>预算安排的总体情况</w:t>
      </w:r>
    </w:p>
    <w:p>
      <w:pPr>
        <w:ind w:firstLine="640"/>
        <w:rPr>
          <w:rFonts w:ascii="仿宋" w:hAnsi="仿宋" w:eastAsia="仿宋" w:cs="仿宋"/>
          <w:sz w:val="32"/>
          <w:szCs w:val="32"/>
        </w:rPr>
      </w:pPr>
      <w:r>
        <w:rPr>
          <w:rFonts w:hint="eastAsia" w:ascii="仿宋" w:hAnsi="仿宋" w:eastAsia="仿宋" w:cs="仿宋"/>
          <w:sz w:val="32"/>
          <w:szCs w:val="32"/>
        </w:rPr>
        <w:t>按照预算管理有关规定，目前我县</w:t>
      </w:r>
      <w:r>
        <w:rPr>
          <w:rFonts w:hint="eastAsia" w:ascii="仿宋" w:hAnsi="仿宋" w:eastAsia="仿宋" w:cs="仿宋"/>
          <w:sz w:val="32"/>
          <w:szCs w:val="32"/>
          <w:lang w:eastAsia="zh-CN"/>
        </w:rPr>
        <w:t>单位</w:t>
      </w:r>
      <w:r>
        <w:rPr>
          <w:rFonts w:hint="eastAsia" w:ascii="仿宋" w:hAnsi="仿宋" w:eastAsia="仿宋" w:cs="仿宋"/>
          <w:sz w:val="32"/>
          <w:szCs w:val="32"/>
        </w:rPr>
        <w:t>预算的编制实行综合预算制度，即全部收入和支出都反映在预算中。永清县</w:t>
      </w:r>
      <w:r>
        <w:rPr>
          <w:rFonts w:hint="eastAsia" w:ascii="仿宋" w:hAnsi="仿宋" w:eastAsia="仿宋" w:cs="仿宋"/>
          <w:sz w:val="32"/>
          <w:szCs w:val="32"/>
          <w:lang w:eastAsia="zh-CN"/>
        </w:rPr>
        <w:t>三圣口乡</w:t>
      </w:r>
      <w:r>
        <w:rPr>
          <w:rFonts w:hint="eastAsia" w:ascii="仿宋" w:hAnsi="仿宋" w:eastAsia="仿宋" w:cs="仿宋"/>
          <w:sz w:val="32"/>
          <w:szCs w:val="32"/>
        </w:rPr>
        <w:t>人民政府机关包含在</w:t>
      </w:r>
      <w:r>
        <w:rPr>
          <w:rFonts w:hint="eastAsia" w:ascii="仿宋" w:hAnsi="仿宋" w:eastAsia="仿宋" w:cs="仿宋"/>
          <w:sz w:val="32"/>
          <w:szCs w:val="32"/>
          <w:lang w:eastAsia="zh-CN"/>
        </w:rPr>
        <w:t>单位</w:t>
      </w:r>
      <w:r>
        <w:rPr>
          <w:rFonts w:hint="eastAsia" w:ascii="仿宋" w:hAnsi="仿宋" w:eastAsia="仿宋" w:cs="仿宋"/>
          <w:sz w:val="32"/>
          <w:szCs w:val="32"/>
        </w:rPr>
        <w:t>预算中。</w:t>
      </w:r>
    </w:p>
    <w:p>
      <w:pPr>
        <w:ind w:firstLine="643" w:firstLineChars="200"/>
        <w:rPr>
          <w:rFonts w:ascii="楷体" w:hAnsi="楷体" w:eastAsia="楷体" w:cs="楷体"/>
          <w:b/>
          <w:sz w:val="32"/>
          <w:szCs w:val="32"/>
        </w:rPr>
      </w:pPr>
      <w:r>
        <w:rPr>
          <w:rFonts w:ascii="楷体" w:hAnsi="楷体" w:eastAsia="楷体" w:cs="楷体"/>
          <w:b/>
          <w:sz w:val="32"/>
          <w:szCs w:val="32"/>
        </w:rPr>
        <w:t>1</w:t>
      </w:r>
      <w:r>
        <w:rPr>
          <w:rFonts w:hint="eastAsia" w:ascii="楷体" w:hAnsi="楷体" w:eastAsia="楷体" w:cs="楷体"/>
          <w:b/>
          <w:sz w:val="32"/>
          <w:szCs w:val="32"/>
        </w:rPr>
        <w:t>、收入说明</w:t>
      </w:r>
    </w:p>
    <w:p>
      <w:pPr>
        <w:ind w:firstLine="640"/>
        <w:rPr>
          <w:rFonts w:ascii="仿宋" w:hAnsi="仿宋" w:eastAsia="仿宋" w:cs="仿宋"/>
          <w:sz w:val="32"/>
          <w:szCs w:val="32"/>
        </w:rPr>
      </w:pPr>
      <w:r>
        <w:rPr>
          <w:rFonts w:hint="eastAsia" w:ascii="仿宋" w:hAnsi="仿宋" w:eastAsia="仿宋" w:cs="仿宋"/>
          <w:sz w:val="32"/>
          <w:szCs w:val="32"/>
        </w:rPr>
        <w:t>反映本</w:t>
      </w:r>
      <w:r>
        <w:rPr>
          <w:rFonts w:hint="eastAsia" w:ascii="仿宋" w:hAnsi="仿宋" w:eastAsia="仿宋" w:cs="仿宋"/>
          <w:sz w:val="32"/>
          <w:szCs w:val="32"/>
          <w:lang w:eastAsia="zh-CN"/>
        </w:rPr>
        <w:t>单位</w:t>
      </w:r>
      <w:r>
        <w:rPr>
          <w:rFonts w:hint="eastAsia" w:ascii="仿宋" w:hAnsi="仿宋" w:eastAsia="仿宋" w:cs="仿宋"/>
          <w:sz w:val="32"/>
          <w:szCs w:val="32"/>
        </w:rPr>
        <w:t>当年全部收入。2023年预算收入</w:t>
      </w:r>
      <w:r>
        <w:rPr>
          <w:rFonts w:hint="eastAsia" w:ascii="仿宋" w:hAnsi="仿宋" w:eastAsia="仿宋" w:cs="仿宋"/>
          <w:sz w:val="32"/>
          <w:szCs w:val="32"/>
          <w:lang w:val="en-US" w:eastAsia="zh-CN"/>
        </w:rPr>
        <w:t>1979.55</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1979.55</w:t>
      </w:r>
      <w:r>
        <w:rPr>
          <w:rFonts w:hint="eastAsia" w:ascii="仿宋" w:hAnsi="仿宋" w:eastAsia="仿宋" w:cs="仿宋"/>
          <w:sz w:val="32"/>
          <w:szCs w:val="32"/>
        </w:rPr>
        <w:t>万元，基金预算收入0万元，财政专户核拨收入0万元，其他来源收入</w:t>
      </w:r>
      <w:r>
        <w:rPr>
          <w:rFonts w:ascii="仿宋" w:hAnsi="仿宋" w:eastAsia="仿宋" w:cs="仿宋"/>
          <w:sz w:val="32"/>
          <w:szCs w:val="32"/>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3" w:firstLineChars="200"/>
        <w:rPr>
          <w:rFonts w:ascii="楷体" w:hAnsi="楷体" w:eastAsia="楷体" w:cs="楷体"/>
          <w:b/>
          <w:sz w:val="32"/>
          <w:szCs w:val="32"/>
        </w:rPr>
      </w:pPr>
      <w:r>
        <w:rPr>
          <w:rFonts w:ascii="楷体" w:hAnsi="楷体" w:eastAsia="楷体" w:cs="楷体"/>
          <w:b/>
          <w:sz w:val="32"/>
          <w:szCs w:val="32"/>
        </w:rPr>
        <w:t>2</w:t>
      </w:r>
      <w:r>
        <w:rPr>
          <w:rFonts w:hint="eastAsia" w:ascii="楷体" w:hAnsi="楷体" w:eastAsia="楷体" w:cs="楷体"/>
          <w:b/>
          <w:sz w:val="32"/>
          <w:szCs w:val="32"/>
        </w:rPr>
        <w:t>、支出说明</w:t>
      </w:r>
    </w:p>
    <w:p>
      <w:pPr>
        <w:ind w:firstLine="64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收支预算总表支出栏、基本支出表、项目支出表按经济分类和支出功能分类科目编制，反映永清县</w:t>
      </w:r>
      <w:r>
        <w:rPr>
          <w:rFonts w:hint="eastAsia" w:ascii="仿宋" w:hAnsi="仿宋" w:eastAsia="仿宋" w:cs="仿宋"/>
          <w:sz w:val="32"/>
          <w:szCs w:val="32"/>
          <w:lang w:eastAsia="zh-CN"/>
        </w:rPr>
        <w:t>三圣口乡</w:t>
      </w:r>
      <w:r>
        <w:rPr>
          <w:rFonts w:hint="eastAsia" w:ascii="仿宋" w:hAnsi="仿宋" w:eastAsia="仿宋" w:cs="仿宋"/>
          <w:sz w:val="32"/>
          <w:szCs w:val="32"/>
        </w:rPr>
        <w:t>人民政府2023年度</w:t>
      </w:r>
      <w:r>
        <w:rPr>
          <w:rFonts w:hint="eastAsia" w:ascii="仿宋" w:hAnsi="仿宋" w:eastAsia="仿宋" w:cs="仿宋"/>
          <w:sz w:val="32"/>
          <w:szCs w:val="32"/>
          <w:lang w:eastAsia="zh-CN"/>
        </w:rPr>
        <w:t>单位</w:t>
      </w:r>
      <w:r>
        <w:rPr>
          <w:rFonts w:hint="eastAsia" w:ascii="仿宋" w:hAnsi="仿宋" w:eastAsia="仿宋" w:cs="仿宋"/>
          <w:sz w:val="32"/>
          <w:szCs w:val="32"/>
        </w:rPr>
        <w:t>预算中支出预算的总体情况。2023年支出预算</w:t>
      </w:r>
      <w:r>
        <w:rPr>
          <w:rFonts w:hint="eastAsia" w:ascii="仿宋" w:hAnsi="仿宋" w:eastAsia="仿宋" w:cs="仿宋"/>
          <w:sz w:val="32"/>
          <w:szCs w:val="32"/>
          <w:lang w:val="en-US" w:eastAsia="zh-CN"/>
        </w:rPr>
        <w:t>1979.55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783.94</w:t>
      </w:r>
      <w:r>
        <w:rPr>
          <w:rFonts w:hint="eastAsia" w:ascii="仿宋" w:hAnsi="仿宋" w:eastAsia="仿宋" w:cs="仿宋"/>
          <w:sz w:val="32"/>
          <w:szCs w:val="32"/>
        </w:rPr>
        <w:t>万元，包括人员类项目经费</w:t>
      </w:r>
      <w:r>
        <w:rPr>
          <w:rFonts w:hint="eastAsia" w:ascii="仿宋" w:hAnsi="仿宋" w:eastAsia="仿宋" w:cs="仿宋"/>
          <w:sz w:val="32"/>
          <w:szCs w:val="32"/>
          <w:lang w:val="en-US" w:eastAsia="zh-CN"/>
        </w:rPr>
        <w:t>708.7</w:t>
      </w:r>
      <w:r>
        <w:rPr>
          <w:rFonts w:hint="eastAsia" w:ascii="仿宋" w:hAnsi="仿宋" w:eastAsia="仿宋" w:cs="仿宋"/>
          <w:sz w:val="32"/>
          <w:szCs w:val="32"/>
        </w:rPr>
        <w:t>万元和运转类公用项目经费</w:t>
      </w:r>
      <w:r>
        <w:rPr>
          <w:rFonts w:hint="eastAsia" w:ascii="仿宋" w:hAnsi="仿宋" w:eastAsia="仿宋" w:cs="仿宋"/>
          <w:sz w:val="32"/>
          <w:szCs w:val="32"/>
          <w:lang w:val="en-US" w:eastAsia="zh-CN"/>
        </w:rPr>
        <w:t>75.24</w:t>
      </w:r>
      <w:r>
        <w:rPr>
          <w:rFonts w:hint="eastAsia" w:ascii="仿宋" w:hAnsi="仿宋" w:eastAsia="仿宋" w:cs="仿宋"/>
          <w:sz w:val="32"/>
          <w:szCs w:val="32"/>
        </w:rPr>
        <w:t>万元；运转类及特定目标类项目支出</w:t>
      </w:r>
      <w:r>
        <w:rPr>
          <w:rFonts w:hint="eastAsia" w:ascii="仿宋" w:hAnsi="仿宋" w:eastAsia="仿宋" w:cs="仿宋"/>
          <w:sz w:val="32"/>
          <w:szCs w:val="32"/>
          <w:lang w:val="en-US" w:eastAsia="zh-CN"/>
        </w:rPr>
        <w:t>1195.61</w:t>
      </w:r>
      <w:r>
        <w:rPr>
          <w:rFonts w:hint="eastAsia" w:ascii="仿宋" w:hAnsi="仿宋" w:eastAsia="仿宋" w:cs="仿宋"/>
          <w:sz w:val="32"/>
          <w:szCs w:val="32"/>
        </w:rPr>
        <w:t>万元，包括本级支出，主要为一般公共服务支出、节能环保支出、农林水支出等。</w:t>
      </w:r>
    </w:p>
    <w:p>
      <w:pPr>
        <w:ind w:firstLine="643" w:firstLineChars="200"/>
        <w:rPr>
          <w:rFonts w:ascii="楷体" w:hAnsi="楷体" w:eastAsia="楷体" w:cs="楷体"/>
          <w:b/>
          <w:sz w:val="32"/>
          <w:szCs w:val="32"/>
        </w:rPr>
      </w:pPr>
      <w:r>
        <w:rPr>
          <w:rFonts w:ascii="楷体" w:hAnsi="楷体" w:eastAsia="楷体" w:cs="楷体"/>
          <w:b/>
          <w:sz w:val="32"/>
          <w:szCs w:val="32"/>
        </w:rPr>
        <w:t>3</w:t>
      </w:r>
      <w:r>
        <w:rPr>
          <w:rFonts w:hint="eastAsia" w:ascii="楷体" w:hAnsi="楷体" w:eastAsia="楷体" w:cs="楷体"/>
          <w:b/>
          <w:sz w:val="32"/>
          <w:szCs w:val="32"/>
        </w:rPr>
        <w:t>、比上年增减情况</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cs="仿宋"/>
          <w:sz w:val="32"/>
          <w:szCs w:val="32"/>
        </w:rPr>
        <w:t>2023年预算收支安排</w:t>
      </w:r>
      <w:r>
        <w:rPr>
          <w:rFonts w:hint="eastAsia" w:ascii="仿宋" w:hAnsi="仿宋" w:eastAsia="仿宋" w:cs="仿宋"/>
          <w:sz w:val="32"/>
          <w:szCs w:val="32"/>
          <w:lang w:val="en-US" w:eastAsia="zh-CN"/>
        </w:rPr>
        <w:t>1979.55</w:t>
      </w:r>
      <w:r>
        <w:rPr>
          <w:rFonts w:hint="eastAsia" w:ascii="仿宋" w:hAnsi="仿宋" w:eastAsia="仿宋" w:cs="仿宋"/>
          <w:sz w:val="32"/>
          <w:szCs w:val="32"/>
        </w:rPr>
        <w:t>万元，较2022年预算减少</w:t>
      </w:r>
      <w:r>
        <w:rPr>
          <w:rFonts w:hint="eastAsia" w:ascii="仿宋" w:hAnsi="仿宋" w:eastAsia="仿宋" w:cs="仿宋"/>
          <w:sz w:val="32"/>
          <w:szCs w:val="32"/>
          <w:lang w:val="en-US" w:eastAsia="zh-CN"/>
        </w:rPr>
        <w:t>1443.26</w:t>
      </w:r>
      <w:r>
        <w:rPr>
          <w:rFonts w:hint="eastAsia" w:ascii="仿宋" w:hAnsi="仿宋" w:eastAsia="仿宋" w:cs="仿宋"/>
          <w:sz w:val="32"/>
          <w:szCs w:val="32"/>
        </w:rPr>
        <w:t>万元，其中</w:t>
      </w:r>
      <w:r>
        <w:rPr>
          <w:rFonts w:hint="eastAsia" w:ascii="仿宋" w:hAnsi="仿宋" w:eastAsia="仿宋"/>
          <w:sz w:val="32"/>
          <w:szCs w:val="32"/>
        </w:rPr>
        <w:t>基本支出增加</w:t>
      </w:r>
      <w:r>
        <w:rPr>
          <w:rFonts w:hint="eastAsia" w:ascii="仿宋" w:hAnsi="仿宋" w:eastAsia="仿宋"/>
          <w:sz w:val="32"/>
          <w:szCs w:val="32"/>
          <w:lang w:val="en-US" w:eastAsia="zh-CN"/>
        </w:rPr>
        <w:t>118.44</w:t>
      </w:r>
      <w:r>
        <w:rPr>
          <w:rFonts w:hint="eastAsia" w:ascii="仿宋" w:hAnsi="仿宋" w:eastAsia="仿宋"/>
          <w:sz w:val="32"/>
          <w:szCs w:val="32"/>
        </w:rPr>
        <w:t>万元，主要为人员调</w:t>
      </w:r>
      <w:r>
        <w:rPr>
          <w:rFonts w:hint="eastAsia" w:ascii="仿宋" w:hAnsi="仿宋" w:eastAsia="仿宋"/>
          <w:sz w:val="32"/>
          <w:szCs w:val="32"/>
          <w:lang w:eastAsia="zh-CN"/>
        </w:rPr>
        <w:t>整</w:t>
      </w:r>
      <w:r>
        <w:rPr>
          <w:rFonts w:hint="eastAsia" w:ascii="仿宋" w:hAnsi="仿宋" w:eastAsia="仿宋"/>
          <w:sz w:val="32"/>
          <w:szCs w:val="32"/>
        </w:rPr>
        <w:t>工资增加等；项目支出减少</w:t>
      </w:r>
      <w:r>
        <w:rPr>
          <w:rFonts w:hint="eastAsia" w:ascii="仿宋" w:hAnsi="仿宋" w:eastAsia="仿宋"/>
          <w:sz w:val="32"/>
          <w:szCs w:val="32"/>
          <w:lang w:val="en-US" w:eastAsia="zh-CN"/>
        </w:rPr>
        <w:t>1561.7</w:t>
      </w:r>
      <w:r>
        <w:rPr>
          <w:rFonts w:hint="eastAsia" w:ascii="仿宋" w:hAnsi="仿宋" w:eastAsia="仿宋"/>
          <w:sz w:val="32"/>
          <w:szCs w:val="32"/>
        </w:rPr>
        <w:t>万元，主要是因为上年结转双代资金及</w:t>
      </w:r>
      <w:r>
        <w:rPr>
          <w:rFonts w:hint="eastAsia" w:ascii="仿宋" w:hAnsi="仿宋" w:eastAsia="仿宋"/>
          <w:sz w:val="32"/>
          <w:szCs w:val="32"/>
          <w:lang w:eastAsia="zh-CN"/>
        </w:rPr>
        <w:t>减少</w:t>
      </w:r>
      <w:r>
        <w:rPr>
          <w:rFonts w:hint="eastAsia" w:ascii="仿宋" w:hAnsi="仿宋" w:eastAsia="仿宋"/>
          <w:sz w:val="32"/>
          <w:szCs w:val="32"/>
        </w:rPr>
        <w:t>农林水支出。</w:t>
      </w:r>
    </w:p>
    <w:p>
      <w:pPr>
        <w:ind w:firstLine="640"/>
        <w:rPr>
          <w:rFonts w:ascii="黑体" w:hAnsi="黑体" w:eastAsia="黑体" w:cs="黑体"/>
          <w:sz w:val="32"/>
          <w:szCs w:val="32"/>
        </w:rPr>
      </w:pPr>
      <w:r>
        <w:rPr>
          <w:rFonts w:hint="eastAsia" w:ascii="黑体" w:hAnsi="黑体" w:eastAsia="黑体" w:cs="黑体"/>
          <w:sz w:val="32"/>
          <w:szCs w:val="32"/>
        </w:rPr>
        <w:t>三、机关运行经费安排情况</w:t>
      </w:r>
    </w:p>
    <w:p>
      <w:pPr>
        <w:autoSpaceDE w:val="0"/>
        <w:autoSpaceDN w:val="0"/>
        <w:adjustRightInd w:val="0"/>
        <w:ind w:left="197" w:leftChars="94" w:firstLine="640" w:firstLineChars="200"/>
        <w:jc w:val="left"/>
        <w:rPr>
          <w:rFonts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75.24</w:t>
      </w:r>
      <w:r>
        <w:rPr>
          <w:rFonts w:hint="eastAsia" w:ascii="仿宋" w:hAnsi="仿宋" w:eastAsia="仿宋" w:cs="仿宋"/>
          <w:sz w:val="32"/>
          <w:szCs w:val="32"/>
        </w:rPr>
        <w:t>万元，主要用于永清县</w:t>
      </w:r>
      <w:r>
        <w:rPr>
          <w:rFonts w:hint="eastAsia" w:ascii="仿宋" w:hAnsi="仿宋" w:eastAsia="仿宋" w:cs="仿宋"/>
          <w:sz w:val="32"/>
          <w:szCs w:val="32"/>
          <w:lang w:eastAsia="zh-CN"/>
        </w:rPr>
        <w:t>三圣口乡</w:t>
      </w:r>
      <w:r>
        <w:rPr>
          <w:rFonts w:hint="eastAsia" w:ascii="仿宋" w:hAnsi="仿宋" w:eastAsia="仿宋" w:cs="仿宋"/>
          <w:sz w:val="32"/>
          <w:szCs w:val="32"/>
        </w:rPr>
        <w:t>人民政府办公区的日常维修、办公、水电费、办公用房取暖费、日常运行等支出。</w:t>
      </w:r>
    </w:p>
    <w:p>
      <w:pPr>
        <w:ind w:firstLine="640"/>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cs="仿宋"/>
          <w:sz w:val="32"/>
          <w:szCs w:val="32"/>
        </w:rPr>
        <w:t>2023年，我单位财政拨款“三公”经费预算安排8.</w:t>
      </w:r>
      <w:r>
        <w:rPr>
          <w:rFonts w:hint="eastAsia" w:ascii="仿宋" w:hAnsi="仿宋" w:eastAsia="仿宋" w:cs="仿宋"/>
          <w:sz w:val="32"/>
          <w:szCs w:val="32"/>
          <w:lang w:val="en-US" w:eastAsia="zh-CN"/>
        </w:rPr>
        <w:t>1</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万元；公务用车购置及运维费8.1万元（其中：公务用车购置费为</w:t>
      </w:r>
      <w:r>
        <w:rPr>
          <w:rFonts w:ascii="仿宋" w:hAnsi="仿宋" w:eastAsia="仿宋" w:cs="仿宋"/>
          <w:sz w:val="32"/>
          <w:szCs w:val="32"/>
        </w:rPr>
        <w:t>0</w:t>
      </w:r>
      <w:r>
        <w:rPr>
          <w:rFonts w:hint="eastAsia" w:ascii="仿宋" w:hAnsi="仿宋" w:eastAsia="仿宋" w:cs="仿宋"/>
          <w:sz w:val="32"/>
          <w:szCs w:val="32"/>
        </w:rPr>
        <w:t>万元，公务用车运行费8.1万元</w:t>
      </w:r>
      <w:r>
        <w:rPr>
          <w:rFonts w:ascii="仿宋" w:hAnsi="仿宋" w:eastAsia="仿宋" w:cs="仿宋"/>
          <w:sz w:val="32"/>
          <w:szCs w:val="32"/>
        </w:rPr>
        <w:t>)</w:t>
      </w:r>
      <w:r>
        <w:rPr>
          <w:rFonts w:hint="eastAsia" w:ascii="仿宋" w:hAnsi="仿宋" w:eastAsia="仿宋" w:cs="仿宋"/>
          <w:sz w:val="32"/>
          <w:szCs w:val="32"/>
        </w:rPr>
        <w:t>，</w:t>
      </w:r>
      <w:r>
        <w:rPr>
          <w:rFonts w:hint="eastAsia" w:ascii="仿宋_GB2312" w:hAnsi="Times New Roman" w:eastAsia="仿宋_GB2312"/>
          <w:sz w:val="32"/>
          <w:szCs w:val="32"/>
        </w:rPr>
        <w:t>公务接待费</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w:t>
      </w:r>
      <w:r>
        <w:rPr>
          <w:rFonts w:hint="eastAsia" w:ascii="仿宋" w:hAnsi="仿宋" w:eastAsia="仿宋"/>
          <w:sz w:val="32"/>
          <w:szCs w:val="32"/>
        </w:rPr>
        <w:t>与2022年相比减少</w:t>
      </w:r>
      <w:r>
        <w:rPr>
          <w:rFonts w:hint="eastAsia" w:ascii="仿宋" w:hAnsi="仿宋" w:eastAsia="仿宋"/>
          <w:sz w:val="32"/>
          <w:szCs w:val="32"/>
          <w:lang w:val="en-US" w:eastAsia="zh-CN"/>
        </w:rPr>
        <w:t>9.51</w:t>
      </w:r>
      <w:r>
        <w:rPr>
          <w:rFonts w:hint="eastAsia" w:ascii="仿宋" w:hAnsi="仿宋" w:eastAsia="仿宋"/>
          <w:sz w:val="32"/>
          <w:szCs w:val="32"/>
        </w:rPr>
        <w:t>万元，主要是因为严格控制三公经费支出。</w:t>
      </w:r>
    </w:p>
    <w:p>
      <w:pPr>
        <w:ind w:firstLine="640"/>
        <w:rPr>
          <w:rFonts w:ascii="黑体" w:hAnsi="黑体" w:eastAsia="黑体" w:cs="黑体"/>
          <w:sz w:val="32"/>
          <w:szCs w:val="32"/>
        </w:rPr>
      </w:pPr>
      <w:r>
        <w:rPr>
          <w:rFonts w:hint="eastAsia" w:ascii="黑体" w:hAnsi="黑体" w:eastAsia="黑体" w:cs="黑体"/>
          <w:sz w:val="32"/>
          <w:szCs w:val="32"/>
        </w:rPr>
        <w:t>五、绩效预算信息</w:t>
      </w:r>
      <w:bookmarkStart w:id="0" w:name="_Toc471398463"/>
    </w:p>
    <w:p>
      <w:pPr>
        <w:ind w:firstLine="640" w:firstLineChars="200"/>
        <w:jc w:val="left"/>
        <w:outlineLvl w:val="1"/>
        <w:rPr>
          <w:rFonts w:ascii="楷体" w:hAnsi="楷体" w:eastAsia="楷体" w:cs="楷体"/>
          <w:b/>
          <w:bCs/>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eastAsia="zh-CN"/>
        </w:rPr>
        <w:t>单位</w:t>
      </w:r>
      <w:r>
        <w:rPr>
          <w:rFonts w:hint="eastAsia" w:ascii="黑体" w:hAnsi="黑体" w:eastAsia="黑体" w:cs="黑体"/>
          <w:sz w:val="32"/>
          <w:szCs w:val="32"/>
        </w:rPr>
        <w:t>整体绩效目标</w:t>
      </w:r>
    </w:p>
    <w:p>
      <w:pPr>
        <w:ind w:firstLine="643" w:firstLineChars="200"/>
        <w:jc w:val="left"/>
        <w:outlineLvl w:val="1"/>
        <w:rPr>
          <w:rFonts w:ascii="Times New Roman" w:hAnsi="Times New Roman" w:eastAsia="等线"/>
          <w:kern w:val="0"/>
          <w:sz w:val="32"/>
          <w:szCs w:val="32"/>
        </w:rPr>
      </w:pPr>
      <w:r>
        <w:rPr>
          <w:rFonts w:hint="eastAsia" w:ascii="楷体" w:hAnsi="楷体" w:eastAsia="楷体" w:cs="楷体"/>
          <w:b/>
          <w:bCs/>
          <w:sz w:val="32"/>
          <w:szCs w:val="32"/>
        </w:rPr>
        <w:t>（一）、总体绩效目标</w:t>
      </w:r>
      <w:r>
        <w:fldChar w:fldCharType="begin"/>
      </w:r>
      <w:r>
        <w:rPr>
          <w:rFonts w:hint="eastAsia" w:ascii="方正黑体_GBK" w:eastAsia="方正黑体_GBK"/>
          <w:sz w:val="28"/>
        </w:rPr>
        <w:instrText xml:space="preserve">TC </w:instrText>
      </w:r>
      <w:bookmarkStart w:id="1" w:name="_Toc29819668"/>
      <w:r>
        <w:rPr>
          <w:rFonts w:hint="eastAsia" w:ascii="方正黑体_GBK" w:eastAsia="方正黑体_GBK"/>
          <w:sz w:val="28"/>
        </w:rPr>
        <w:instrText xml:space="preserve">总体绩效目标</w:instrText>
      </w:r>
      <w:bookmarkEnd w:id="1"/>
      <w:r>
        <w:rPr>
          <w:rFonts w:hint="eastAsia" w:ascii="方正黑体_GBK" w:eastAsia="方正黑体_GBK"/>
          <w:sz w:val="28"/>
        </w:rPr>
        <w:instrText xml:space="preserve"> \f A \l 1</w:instrText>
      </w:r>
      <w:r>
        <w:rPr>
          <w:rFonts w:ascii="方正黑体_GBK" w:eastAsia="方正黑体_GBK"/>
          <w:sz w:val="28"/>
        </w:rPr>
        <w:fldChar w:fldCharType="end"/>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800" w:lineRule="exact"/>
        <w:ind w:firstLine="641"/>
        <w:rPr>
          <w:rFonts w:ascii="Times New Roman" w:hAnsi="Times New Roman" w:eastAsia="等线"/>
          <w:kern w:val="0"/>
          <w:sz w:val="32"/>
          <w:szCs w:val="32"/>
        </w:rPr>
      </w:pPr>
      <w:r>
        <w:rPr>
          <w:rFonts w:hint="eastAsia" w:ascii="仿宋" w:hAnsi="仿宋" w:eastAsia="仿宋" w:cs="仿宋"/>
          <w:kern w:val="0"/>
          <w:sz w:val="32"/>
          <w:szCs w:val="32"/>
        </w:rPr>
        <w:t>依据我单位</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职责，本年度内，我单位要增强</w:t>
      </w:r>
      <w:r>
        <w:rPr>
          <w:rFonts w:hint="eastAsia" w:ascii="仿宋" w:hAnsi="仿宋" w:eastAsia="仿宋" w:cs="仿宋"/>
          <w:kern w:val="0"/>
          <w:sz w:val="32"/>
          <w:szCs w:val="32"/>
          <w:lang w:eastAsia="zh-CN"/>
        </w:rPr>
        <w:t>乡</w:t>
      </w:r>
      <w:r>
        <w:rPr>
          <w:rFonts w:hint="eastAsia" w:ascii="仿宋" w:hAnsi="仿宋" w:eastAsia="仿宋" w:cs="仿宋"/>
          <w:kern w:val="0"/>
          <w:sz w:val="32"/>
          <w:szCs w:val="32"/>
        </w:rPr>
        <w:t>政府统一管理经济、安全、文化、卫生事业和财政、民政、环保、退役安置、执法等行政工作的职能，对基层党组织运转和服务群众经费使用做好监控，确保经费使用合规有效，完善我</w:t>
      </w:r>
      <w:r>
        <w:rPr>
          <w:rFonts w:hint="eastAsia" w:ascii="仿宋" w:hAnsi="仿宋" w:eastAsia="仿宋" w:cs="仿宋"/>
          <w:kern w:val="0"/>
          <w:sz w:val="32"/>
          <w:szCs w:val="32"/>
          <w:lang w:eastAsia="zh-CN"/>
        </w:rPr>
        <w:t>乡</w:t>
      </w:r>
      <w:r>
        <w:rPr>
          <w:rFonts w:hint="eastAsia" w:ascii="仿宋" w:hAnsi="仿宋" w:eastAsia="仿宋" w:cs="仿宋"/>
          <w:kern w:val="0"/>
          <w:sz w:val="32"/>
          <w:szCs w:val="32"/>
        </w:rPr>
        <w:t>基础设施建设，提升我</w:t>
      </w:r>
      <w:r>
        <w:rPr>
          <w:rFonts w:hint="eastAsia" w:ascii="仿宋" w:hAnsi="仿宋" w:eastAsia="仿宋" w:cs="仿宋"/>
          <w:kern w:val="0"/>
          <w:sz w:val="32"/>
          <w:szCs w:val="32"/>
          <w:lang w:eastAsia="zh-CN"/>
        </w:rPr>
        <w:t>乡</w:t>
      </w:r>
      <w:r>
        <w:rPr>
          <w:rFonts w:hint="eastAsia" w:ascii="仿宋" w:hAnsi="仿宋" w:eastAsia="仿宋" w:cs="仿宋"/>
          <w:kern w:val="0"/>
          <w:sz w:val="32"/>
          <w:szCs w:val="32"/>
        </w:rPr>
        <w:t>环境面貌水平，提高行政执法能力，推进农村经济全面发展和社会全面进步。强化责任落实，把做好信访维稳工作作为首要政治任务，利用各种渠道，防止突发事件和集体上访、越级上访现象的发生，实行信访首办责任制，确保接访工作有条不紊地开展。2023年，我</w:t>
      </w:r>
      <w:r>
        <w:rPr>
          <w:rFonts w:hint="eastAsia" w:ascii="仿宋" w:hAnsi="仿宋" w:eastAsia="仿宋" w:cs="仿宋"/>
          <w:kern w:val="0"/>
          <w:sz w:val="32"/>
          <w:szCs w:val="32"/>
          <w:lang w:eastAsia="zh-CN"/>
        </w:rPr>
        <w:t>乡</w:t>
      </w:r>
      <w:r>
        <w:rPr>
          <w:rFonts w:hint="eastAsia" w:ascii="仿宋" w:hAnsi="仿宋" w:eastAsia="仿宋" w:cs="仿宋"/>
          <w:kern w:val="0"/>
          <w:sz w:val="32"/>
          <w:szCs w:val="32"/>
        </w:rPr>
        <w:t>将进一步体现要求严、标准高工作理念，增强紧迫感和责任感，团结协作、齐心协力，紧紧围绕县委、县政府工作部署，服务民生、服务大局，为永清县建设再上新台阶而努力工作。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ascii="楷体" w:hAnsi="楷体" w:eastAsia="楷体" w:cs="楷体"/>
          <w:b/>
          <w:bCs/>
          <w:sz w:val="32"/>
          <w:szCs w:val="32"/>
        </w:rPr>
      </w:pPr>
      <w:r>
        <w:rPr>
          <w:rFonts w:hint="eastAsia" w:ascii="楷体" w:hAnsi="楷体" w:eastAsia="楷体" w:cs="楷体"/>
          <w:b/>
          <w:bCs/>
          <w:sz w:val="32"/>
          <w:szCs w:val="32"/>
        </w:rPr>
        <w:t>（二）、分项绩效目标</w:t>
      </w:r>
    </w:p>
    <w:p>
      <w:pPr>
        <w:pStyle w:val="17"/>
        <w:rPr>
          <w:rFonts w:ascii="仿宋" w:hAnsi="仿宋" w:eastAsia="仿宋"/>
          <w:sz w:val="32"/>
          <w:szCs w:val="32"/>
        </w:rPr>
      </w:pPr>
      <w:r>
        <w:rPr>
          <w:rFonts w:ascii="仿宋" w:hAnsi="仿宋" w:eastAsia="仿宋"/>
          <w:sz w:val="32"/>
          <w:szCs w:val="32"/>
        </w:rPr>
        <w:t>1、党政综合工作管理</w:t>
      </w:r>
    </w:p>
    <w:p>
      <w:pPr>
        <w:pStyle w:val="17"/>
        <w:rPr>
          <w:rFonts w:ascii="仿宋" w:hAnsi="仿宋" w:eastAsia="仿宋"/>
          <w:sz w:val="32"/>
          <w:szCs w:val="32"/>
        </w:rPr>
      </w:pPr>
      <w:r>
        <w:rPr>
          <w:rFonts w:ascii="仿宋" w:hAnsi="仿宋" w:eastAsia="仿宋"/>
          <w:sz w:val="32"/>
          <w:szCs w:val="32"/>
        </w:rPr>
        <w:t>绩效目标：做好文件的接收与上报工作；对工作档案进行管理；在重要节日敏感时期，组织人员做好信访维稳执勤工作；保障机关办公环境卫生，有序开展日常工作；综合协调各</w:t>
      </w:r>
      <w:r>
        <w:rPr>
          <w:rFonts w:hint="eastAsia" w:ascii="仿宋" w:hAnsi="仿宋" w:eastAsia="仿宋"/>
          <w:sz w:val="32"/>
          <w:szCs w:val="32"/>
          <w:lang w:eastAsia="zh-CN"/>
        </w:rPr>
        <w:t>单位</w:t>
      </w:r>
      <w:r>
        <w:rPr>
          <w:rFonts w:ascii="仿宋" w:hAnsi="仿宋" w:eastAsia="仿宋"/>
          <w:sz w:val="32"/>
          <w:szCs w:val="32"/>
        </w:rPr>
        <w:t>工作；做好财务管理工作，为完成任务提供资金保障。</w:t>
      </w:r>
    </w:p>
    <w:p>
      <w:pPr>
        <w:pStyle w:val="17"/>
        <w:rPr>
          <w:rFonts w:ascii="仿宋" w:hAnsi="仿宋" w:eastAsia="仿宋"/>
          <w:sz w:val="32"/>
          <w:szCs w:val="32"/>
        </w:rPr>
      </w:pPr>
      <w:r>
        <w:rPr>
          <w:rFonts w:ascii="仿宋" w:hAnsi="仿宋" w:eastAsia="仿宋"/>
          <w:sz w:val="32"/>
          <w:szCs w:val="32"/>
        </w:rPr>
        <w:t>绩效指标：</w:t>
      </w:r>
    </w:p>
    <w:p>
      <w:pPr>
        <w:pStyle w:val="17"/>
        <w:rPr>
          <w:rFonts w:ascii="仿宋" w:hAnsi="仿宋" w:eastAsia="仿宋"/>
          <w:sz w:val="32"/>
          <w:szCs w:val="32"/>
        </w:rPr>
      </w:pPr>
      <w:r>
        <w:rPr>
          <w:rFonts w:ascii="仿宋" w:hAnsi="仿宋" w:eastAsia="仿宋"/>
          <w:sz w:val="32"/>
          <w:szCs w:val="32"/>
        </w:rPr>
        <w:t>文件收发及时率</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及时接收与上报的文件在全年所有文件的比率≥90%</w:t>
      </w:r>
    </w:p>
    <w:p>
      <w:pPr>
        <w:pStyle w:val="17"/>
        <w:rPr>
          <w:rFonts w:ascii="仿宋" w:hAnsi="仿宋" w:eastAsia="仿宋"/>
          <w:sz w:val="32"/>
          <w:szCs w:val="32"/>
        </w:rPr>
      </w:pPr>
      <w:r>
        <w:rPr>
          <w:rFonts w:ascii="仿宋" w:hAnsi="仿宋" w:eastAsia="仿宋"/>
          <w:sz w:val="32"/>
          <w:szCs w:val="32"/>
        </w:rPr>
        <w:t>机关安全隐患排查数</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机关安全隐患排查次数≥12次</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对信访事件答复率</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对信访事件答复比率≥90%</w:t>
      </w:r>
    </w:p>
    <w:p>
      <w:pPr>
        <w:pStyle w:val="17"/>
        <w:rPr>
          <w:rFonts w:ascii="仿宋" w:hAnsi="仿宋" w:eastAsia="仿宋"/>
          <w:sz w:val="32"/>
          <w:szCs w:val="32"/>
        </w:rPr>
      </w:pPr>
      <w:r>
        <w:rPr>
          <w:rFonts w:ascii="仿宋" w:hAnsi="仿宋" w:eastAsia="仿宋"/>
          <w:sz w:val="32"/>
          <w:szCs w:val="32"/>
        </w:rPr>
        <w:t>机关环境卫生清理数</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机关环境卫生垃圾清理次数≥24次</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信访维稳工作完成率</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已完成的信访维稳工作占应完成信访维稳工作数量的比率≥90%</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2、党建工作管理</w:t>
      </w:r>
    </w:p>
    <w:p>
      <w:pPr>
        <w:pStyle w:val="17"/>
        <w:rPr>
          <w:rFonts w:ascii="仿宋" w:hAnsi="仿宋" w:eastAsia="仿宋"/>
          <w:sz w:val="32"/>
          <w:szCs w:val="32"/>
        </w:rPr>
      </w:pPr>
      <w:r>
        <w:rPr>
          <w:rFonts w:ascii="仿宋" w:hAnsi="仿宋" w:eastAsia="仿宋"/>
          <w:sz w:val="32"/>
          <w:szCs w:val="32"/>
        </w:rPr>
        <w:t>绩效目标：保障党建与基层党建工作，保障人大主席团的日常工作；保障党员教育管理、干部考核、人事管理、机构编制、老干部管理等方面工作；保障负责工会、共青团、妇联等方面工作；保障党务公开工作；保障财务内部审计监督工作；完成党委、政府交办的其他工作。</w:t>
      </w:r>
    </w:p>
    <w:p>
      <w:pPr>
        <w:pStyle w:val="17"/>
        <w:rPr>
          <w:rFonts w:ascii="仿宋" w:hAnsi="仿宋" w:eastAsia="仿宋"/>
          <w:sz w:val="32"/>
          <w:szCs w:val="32"/>
        </w:rPr>
      </w:pPr>
      <w:r>
        <w:rPr>
          <w:rFonts w:ascii="仿宋" w:hAnsi="仿宋" w:eastAsia="仿宋"/>
          <w:sz w:val="32"/>
          <w:szCs w:val="32"/>
        </w:rPr>
        <w:t>绩效指标：</w:t>
      </w:r>
    </w:p>
    <w:p>
      <w:pPr>
        <w:pStyle w:val="17"/>
        <w:rPr>
          <w:rFonts w:ascii="仿宋" w:hAnsi="仿宋" w:eastAsia="仿宋"/>
          <w:sz w:val="32"/>
          <w:szCs w:val="32"/>
        </w:rPr>
      </w:pPr>
      <w:r>
        <w:rPr>
          <w:rFonts w:ascii="仿宋" w:hAnsi="仿宋" w:eastAsia="仿宋"/>
          <w:sz w:val="32"/>
          <w:szCs w:val="32"/>
        </w:rPr>
        <w:t>组织培训数</w:t>
      </w:r>
      <w:r>
        <w:rPr>
          <w:rFonts w:ascii="仿宋" w:hAnsi="仿宋" w:eastAsia="仿宋"/>
          <w:sz w:val="32"/>
          <w:szCs w:val="32"/>
        </w:rPr>
        <w:tab/>
      </w:r>
      <w:r>
        <w:rPr>
          <w:rFonts w:ascii="仿宋" w:hAnsi="仿宋" w:eastAsia="仿宋"/>
          <w:sz w:val="32"/>
          <w:szCs w:val="32"/>
        </w:rPr>
        <w:t xml:space="preserve"> </w:t>
      </w:r>
      <w:r>
        <w:rPr>
          <w:rFonts w:hint="eastAsia" w:ascii="仿宋" w:hAnsi="仿宋" w:eastAsia="仿宋"/>
          <w:sz w:val="32"/>
          <w:szCs w:val="32"/>
          <w:lang w:eastAsia="zh-CN"/>
        </w:rPr>
        <w:t xml:space="preserve">  </w:t>
      </w:r>
      <w:r>
        <w:rPr>
          <w:rFonts w:ascii="仿宋" w:hAnsi="仿宋" w:eastAsia="仿宋"/>
          <w:sz w:val="32"/>
          <w:szCs w:val="32"/>
        </w:rPr>
        <w:t>组织培训次数≥6次</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干部考核率</w:t>
      </w:r>
      <w:r>
        <w:rPr>
          <w:rFonts w:ascii="仿宋" w:hAnsi="仿宋" w:eastAsia="仿宋"/>
          <w:sz w:val="32"/>
          <w:szCs w:val="32"/>
        </w:rPr>
        <w:tab/>
      </w:r>
      <w:r>
        <w:rPr>
          <w:rFonts w:ascii="仿宋" w:hAnsi="仿宋" w:eastAsia="仿宋"/>
          <w:sz w:val="32"/>
          <w:szCs w:val="32"/>
        </w:rPr>
        <w:t xml:space="preserve"> </w:t>
      </w:r>
      <w:r>
        <w:rPr>
          <w:rFonts w:hint="eastAsia" w:ascii="仿宋" w:hAnsi="仿宋" w:eastAsia="仿宋"/>
          <w:sz w:val="32"/>
          <w:szCs w:val="32"/>
          <w:lang w:eastAsia="zh-CN"/>
        </w:rPr>
        <w:t xml:space="preserve">  </w:t>
      </w:r>
      <w:r>
        <w:rPr>
          <w:rFonts w:ascii="仿宋" w:hAnsi="仿宋" w:eastAsia="仿宋"/>
          <w:sz w:val="32"/>
          <w:szCs w:val="32"/>
        </w:rPr>
        <w:t>完成考核的次数占全年应考核次数的比率≥90%</w:t>
      </w:r>
    </w:p>
    <w:p>
      <w:pPr>
        <w:pStyle w:val="17"/>
        <w:rPr>
          <w:rFonts w:ascii="仿宋" w:hAnsi="仿宋" w:eastAsia="仿宋"/>
          <w:sz w:val="32"/>
          <w:szCs w:val="32"/>
        </w:rPr>
      </w:pPr>
      <w:r>
        <w:rPr>
          <w:rFonts w:ascii="仿宋" w:hAnsi="仿宋" w:eastAsia="仿宋"/>
          <w:sz w:val="32"/>
          <w:szCs w:val="32"/>
        </w:rPr>
        <w:t>组织会议次数   召开基层党建会议的次数≥6</w:t>
      </w:r>
    </w:p>
    <w:p>
      <w:pPr>
        <w:pStyle w:val="17"/>
        <w:rPr>
          <w:rFonts w:ascii="仿宋" w:hAnsi="仿宋" w:eastAsia="仿宋"/>
          <w:sz w:val="32"/>
          <w:szCs w:val="32"/>
        </w:rPr>
      </w:pPr>
      <w:r>
        <w:rPr>
          <w:rFonts w:ascii="仿宋" w:hAnsi="仿宋" w:eastAsia="仿宋"/>
          <w:sz w:val="32"/>
          <w:szCs w:val="32"/>
        </w:rPr>
        <w:t>培训参与率</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 xml:space="preserve"> 参加培训的人数占应参加培训人数的比率≥90%</w:t>
      </w:r>
      <w:r>
        <w:rPr>
          <w:rFonts w:ascii="仿宋" w:hAnsi="仿宋" w:eastAsia="仿宋"/>
          <w:sz w:val="32"/>
          <w:szCs w:val="32"/>
        </w:rPr>
        <w:tab/>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3、应急工作管理</w:t>
      </w:r>
    </w:p>
    <w:p>
      <w:pPr>
        <w:pStyle w:val="17"/>
        <w:rPr>
          <w:rFonts w:ascii="仿宋" w:hAnsi="仿宋" w:eastAsia="仿宋"/>
          <w:sz w:val="32"/>
          <w:szCs w:val="32"/>
        </w:rPr>
      </w:pPr>
      <w:r>
        <w:rPr>
          <w:rFonts w:ascii="仿宋" w:hAnsi="仿宋" w:eastAsia="仿宋"/>
          <w:sz w:val="32"/>
          <w:szCs w:val="32"/>
        </w:rPr>
        <w:t>绩效目标：保障政府和村街的工作安全运行，有效保证应急突发事件应对处置，完善应急体系，有效组织应急演练，进一步提升应急工作水平。</w:t>
      </w:r>
    </w:p>
    <w:p>
      <w:pPr>
        <w:pStyle w:val="17"/>
        <w:rPr>
          <w:rFonts w:ascii="仿宋" w:hAnsi="仿宋" w:eastAsia="仿宋"/>
          <w:sz w:val="32"/>
          <w:szCs w:val="32"/>
        </w:rPr>
      </w:pPr>
      <w:r>
        <w:rPr>
          <w:rFonts w:ascii="仿宋" w:hAnsi="仿宋" w:eastAsia="仿宋"/>
          <w:sz w:val="32"/>
          <w:szCs w:val="32"/>
        </w:rPr>
        <w:t>绩效指标：</w:t>
      </w:r>
    </w:p>
    <w:p>
      <w:pPr>
        <w:pStyle w:val="17"/>
        <w:rPr>
          <w:rFonts w:ascii="仿宋" w:hAnsi="仿宋" w:eastAsia="仿宋"/>
          <w:sz w:val="32"/>
          <w:szCs w:val="32"/>
        </w:rPr>
      </w:pPr>
      <w:r>
        <w:rPr>
          <w:rFonts w:ascii="仿宋" w:hAnsi="仿宋" w:eastAsia="仿宋"/>
          <w:sz w:val="32"/>
          <w:szCs w:val="32"/>
        </w:rPr>
        <w:t>病虫害防治率          完成病虫害防治提升绿化的比率≥90%</w:t>
      </w:r>
    </w:p>
    <w:p>
      <w:pPr>
        <w:pStyle w:val="17"/>
        <w:rPr>
          <w:rFonts w:ascii="仿宋" w:hAnsi="仿宋" w:eastAsia="仿宋"/>
          <w:sz w:val="32"/>
          <w:szCs w:val="32"/>
        </w:rPr>
      </w:pPr>
      <w:r>
        <w:rPr>
          <w:rFonts w:ascii="仿宋" w:hAnsi="仿宋" w:eastAsia="仿宋"/>
          <w:sz w:val="32"/>
          <w:szCs w:val="32"/>
        </w:rPr>
        <w:t xml:space="preserve">全年值班出勤率     </w:t>
      </w:r>
      <w:r>
        <w:rPr>
          <w:rFonts w:hint="eastAsia" w:ascii="仿宋" w:hAnsi="仿宋" w:eastAsia="仿宋"/>
          <w:sz w:val="32"/>
          <w:szCs w:val="32"/>
          <w:lang w:eastAsia="zh-CN"/>
        </w:rPr>
        <w:t xml:space="preserve">  </w:t>
      </w:r>
      <w:r>
        <w:rPr>
          <w:rFonts w:ascii="仿宋" w:hAnsi="仿宋" w:eastAsia="仿宋"/>
          <w:sz w:val="32"/>
          <w:szCs w:val="32"/>
        </w:rPr>
        <w:t xml:space="preserve"> 全年出勤次数≥24次</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 xml:space="preserve">重大事件报告制度 </w:t>
      </w:r>
      <w:r>
        <w:rPr>
          <w:rFonts w:hint="eastAsia" w:ascii="仿宋" w:hAnsi="仿宋" w:eastAsia="仿宋"/>
          <w:sz w:val="32"/>
          <w:szCs w:val="32"/>
          <w:lang w:eastAsia="zh-CN"/>
        </w:rPr>
        <w:t xml:space="preserve">    </w:t>
      </w:r>
      <w:r>
        <w:rPr>
          <w:rFonts w:ascii="仿宋" w:hAnsi="仿宋" w:eastAsia="仿宋"/>
          <w:sz w:val="32"/>
          <w:szCs w:val="32"/>
        </w:rPr>
        <w:t xml:space="preserve"> 突发重大事故上报时限≤30分钟</w:t>
      </w:r>
    </w:p>
    <w:p>
      <w:pPr>
        <w:pStyle w:val="17"/>
        <w:rPr>
          <w:rFonts w:ascii="仿宋" w:hAnsi="仿宋" w:eastAsia="仿宋"/>
          <w:sz w:val="32"/>
          <w:szCs w:val="32"/>
        </w:rPr>
      </w:pPr>
      <w:r>
        <w:rPr>
          <w:rFonts w:ascii="仿宋" w:hAnsi="仿宋" w:eastAsia="仿宋"/>
          <w:sz w:val="32"/>
          <w:szCs w:val="32"/>
        </w:rPr>
        <w:t>应急事件排查           应急事件排查次数≥48次</w:t>
      </w:r>
    </w:p>
    <w:p>
      <w:pPr>
        <w:pStyle w:val="17"/>
        <w:rPr>
          <w:rFonts w:ascii="仿宋" w:hAnsi="仿宋" w:eastAsia="仿宋"/>
          <w:sz w:val="32"/>
          <w:szCs w:val="32"/>
        </w:rPr>
      </w:pPr>
      <w:r>
        <w:rPr>
          <w:rFonts w:ascii="仿宋" w:hAnsi="仿宋" w:eastAsia="仿宋"/>
          <w:sz w:val="32"/>
          <w:szCs w:val="32"/>
        </w:rPr>
        <w:t xml:space="preserve">应急事件处置情况 </w:t>
      </w:r>
      <w:r>
        <w:rPr>
          <w:rFonts w:hint="eastAsia" w:ascii="仿宋" w:hAnsi="仿宋" w:eastAsia="仿宋"/>
          <w:sz w:val="32"/>
          <w:szCs w:val="32"/>
          <w:lang w:eastAsia="zh-CN"/>
        </w:rPr>
        <w:t xml:space="preserve">     </w:t>
      </w:r>
      <w:r>
        <w:rPr>
          <w:rFonts w:ascii="仿宋" w:hAnsi="仿宋" w:eastAsia="仿宋"/>
          <w:sz w:val="32"/>
          <w:szCs w:val="32"/>
        </w:rPr>
        <w:t xml:space="preserve"> 应急事件处置及时率≥90%</w:t>
      </w:r>
    </w:p>
    <w:p>
      <w:pPr>
        <w:pStyle w:val="17"/>
        <w:rPr>
          <w:rFonts w:ascii="仿宋" w:hAnsi="仿宋" w:eastAsia="仿宋"/>
          <w:sz w:val="32"/>
          <w:szCs w:val="32"/>
        </w:rPr>
      </w:pPr>
      <w:r>
        <w:rPr>
          <w:rFonts w:ascii="仿宋" w:hAnsi="仿宋" w:eastAsia="仿宋"/>
          <w:sz w:val="32"/>
          <w:szCs w:val="32"/>
        </w:rPr>
        <w:t>4、自然资源和生态环境工作管理</w:t>
      </w:r>
    </w:p>
    <w:p>
      <w:pPr>
        <w:pStyle w:val="17"/>
        <w:rPr>
          <w:rFonts w:ascii="仿宋" w:hAnsi="仿宋" w:eastAsia="仿宋"/>
          <w:sz w:val="32"/>
          <w:szCs w:val="32"/>
        </w:rPr>
      </w:pPr>
      <w:r>
        <w:rPr>
          <w:rFonts w:ascii="仿宋" w:hAnsi="仿宋" w:eastAsia="仿宋"/>
          <w:sz w:val="32"/>
          <w:szCs w:val="32"/>
        </w:rPr>
        <w:t>绩效目标：制定环境保护应急响应预案；加强自然资源保护和监管、义务植树、</w:t>
      </w:r>
      <w:r>
        <w:rPr>
          <w:rFonts w:hint="eastAsia" w:ascii="仿宋" w:hAnsi="仿宋" w:eastAsia="仿宋"/>
          <w:sz w:val="32"/>
          <w:szCs w:val="32"/>
          <w:lang w:eastAsia="zh-CN"/>
        </w:rPr>
        <w:t>乡</w:t>
      </w:r>
      <w:r>
        <w:rPr>
          <w:rFonts w:ascii="仿宋" w:hAnsi="仿宋" w:eastAsia="仿宋"/>
          <w:sz w:val="32"/>
          <w:szCs w:val="32"/>
        </w:rPr>
        <w:t>村道路建设管理、农村供水用水管理、畜禽遗传保护、生活污水管理、大气污染防治、人居环境改善、扬尘污染防治、露天焚烧秸秆、散乱污企业综合治理、环境监测站运维；加强安全生产培训、宣传；日常环境卫生治理、坑塘沟渠综合治理工作。</w:t>
      </w:r>
    </w:p>
    <w:p>
      <w:pPr>
        <w:pStyle w:val="17"/>
        <w:rPr>
          <w:rFonts w:ascii="仿宋" w:hAnsi="仿宋" w:eastAsia="仿宋"/>
          <w:sz w:val="32"/>
          <w:szCs w:val="32"/>
        </w:rPr>
      </w:pPr>
      <w:r>
        <w:rPr>
          <w:rFonts w:ascii="仿宋" w:hAnsi="仿宋" w:eastAsia="仿宋"/>
          <w:sz w:val="32"/>
          <w:szCs w:val="32"/>
        </w:rPr>
        <w:t>绩效指标：</w:t>
      </w:r>
    </w:p>
    <w:p>
      <w:pPr>
        <w:pStyle w:val="17"/>
        <w:rPr>
          <w:rFonts w:ascii="仿宋" w:hAnsi="仿宋" w:eastAsia="仿宋"/>
          <w:sz w:val="32"/>
          <w:szCs w:val="32"/>
        </w:rPr>
      </w:pPr>
      <w:r>
        <w:rPr>
          <w:rFonts w:ascii="仿宋" w:hAnsi="仿宋" w:eastAsia="仿宋"/>
          <w:sz w:val="32"/>
          <w:szCs w:val="32"/>
        </w:rPr>
        <w:t>组织培训情况        安全生产工作组织专项培训次数≥6次</w:t>
      </w:r>
    </w:p>
    <w:p>
      <w:pPr>
        <w:pStyle w:val="17"/>
        <w:rPr>
          <w:rFonts w:ascii="仿宋" w:hAnsi="仿宋" w:eastAsia="仿宋"/>
          <w:sz w:val="32"/>
          <w:szCs w:val="32"/>
        </w:rPr>
      </w:pPr>
      <w:r>
        <w:rPr>
          <w:rFonts w:ascii="仿宋" w:hAnsi="仿宋" w:eastAsia="仿宋"/>
          <w:sz w:val="32"/>
          <w:szCs w:val="32"/>
        </w:rPr>
        <w:t xml:space="preserve">应急响应完成率   </w:t>
      </w:r>
      <w:r>
        <w:rPr>
          <w:rFonts w:hint="eastAsia" w:ascii="仿宋" w:hAnsi="仿宋" w:eastAsia="仿宋"/>
          <w:sz w:val="32"/>
          <w:szCs w:val="32"/>
          <w:lang w:eastAsia="zh-CN"/>
        </w:rPr>
        <w:t xml:space="preserve">  </w:t>
      </w:r>
      <w:r>
        <w:rPr>
          <w:rFonts w:ascii="仿宋" w:hAnsi="仿宋" w:eastAsia="仿宋"/>
          <w:sz w:val="32"/>
          <w:szCs w:val="32"/>
        </w:rPr>
        <w:t xml:space="preserve"> 完成制定环境应急响应预案率≥90%</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河道排污巡查         河道排污巡查次数≥24次</w:t>
      </w:r>
    </w:p>
    <w:p>
      <w:pPr>
        <w:pStyle w:val="17"/>
        <w:rPr>
          <w:rFonts w:ascii="仿宋" w:hAnsi="仿宋" w:eastAsia="仿宋"/>
          <w:sz w:val="32"/>
          <w:szCs w:val="32"/>
        </w:rPr>
      </w:pPr>
      <w:r>
        <w:rPr>
          <w:rFonts w:ascii="仿宋" w:hAnsi="仿宋" w:eastAsia="仿宋"/>
          <w:sz w:val="32"/>
          <w:szCs w:val="32"/>
        </w:rPr>
        <w:t>5、综合行政执法工作管理</w:t>
      </w:r>
    </w:p>
    <w:p>
      <w:pPr>
        <w:pStyle w:val="17"/>
        <w:rPr>
          <w:rFonts w:ascii="仿宋" w:hAnsi="仿宋" w:eastAsia="仿宋"/>
          <w:sz w:val="32"/>
          <w:szCs w:val="32"/>
        </w:rPr>
      </w:pPr>
      <w:r>
        <w:rPr>
          <w:rFonts w:ascii="仿宋" w:hAnsi="仿宋" w:eastAsia="仿宋"/>
          <w:sz w:val="32"/>
          <w:szCs w:val="32"/>
        </w:rPr>
        <w:t>绩效目标：提升区域内街道两侧市容环境卫生，规范区域内市政管理，保障行政执法工作正常进行；整改我</w:t>
      </w:r>
      <w:r>
        <w:rPr>
          <w:rFonts w:hint="eastAsia" w:ascii="仿宋" w:hAnsi="仿宋" w:eastAsia="仿宋"/>
          <w:sz w:val="32"/>
          <w:szCs w:val="32"/>
          <w:lang w:eastAsia="zh-CN"/>
        </w:rPr>
        <w:t>乡</w:t>
      </w:r>
      <w:r>
        <w:rPr>
          <w:rFonts w:ascii="仿宋" w:hAnsi="仿宋" w:eastAsia="仿宋"/>
          <w:sz w:val="32"/>
          <w:szCs w:val="32"/>
        </w:rPr>
        <w:t>乱建乱搭、环境污染、车辆乱停乱发、无照商贩、无证饮食摊点等现象。</w:t>
      </w:r>
    </w:p>
    <w:p>
      <w:pPr>
        <w:pStyle w:val="17"/>
        <w:rPr>
          <w:rFonts w:ascii="仿宋" w:hAnsi="仿宋" w:eastAsia="仿宋"/>
          <w:sz w:val="32"/>
          <w:szCs w:val="32"/>
        </w:rPr>
      </w:pPr>
      <w:r>
        <w:rPr>
          <w:rFonts w:ascii="仿宋" w:hAnsi="仿宋" w:eastAsia="仿宋"/>
          <w:sz w:val="32"/>
          <w:szCs w:val="32"/>
        </w:rPr>
        <w:t>绩效指标：</w:t>
      </w:r>
    </w:p>
    <w:p>
      <w:pPr>
        <w:pStyle w:val="17"/>
        <w:rPr>
          <w:rFonts w:ascii="仿宋" w:hAnsi="仿宋" w:eastAsia="仿宋"/>
          <w:sz w:val="32"/>
          <w:szCs w:val="32"/>
        </w:rPr>
      </w:pPr>
      <w:r>
        <w:rPr>
          <w:rFonts w:ascii="仿宋" w:hAnsi="仿宋" w:eastAsia="仿宋"/>
          <w:sz w:val="32"/>
          <w:szCs w:val="32"/>
        </w:rPr>
        <w:t>日常巡查完成率    日巡查次数占应完成巡查次数的比率≥90%</w:t>
      </w:r>
    </w:p>
    <w:p>
      <w:pPr>
        <w:pStyle w:val="17"/>
        <w:rPr>
          <w:rFonts w:ascii="仿宋" w:hAnsi="仿宋" w:eastAsia="仿宋"/>
          <w:sz w:val="32"/>
          <w:szCs w:val="32"/>
        </w:rPr>
      </w:pPr>
      <w:r>
        <w:rPr>
          <w:rFonts w:ascii="仿宋" w:hAnsi="仿宋" w:eastAsia="仿宋"/>
          <w:sz w:val="32"/>
          <w:szCs w:val="32"/>
        </w:rPr>
        <w:t xml:space="preserve">组织培训情况 </w:t>
      </w:r>
      <w:r>
        <w:rPr>
          <w:rFonts w:ascii="仿宋" w:hAnsi="仿宋" w:eastAsia="仿宋"/>
          <w:sz w:val="32"/>
          <w:szCs w:val="32"/>
        </w:rPr>
        <w:tab/>
      </w:r>
      <w:r>
        <w:rPr>
          <w:rFonts w:ascii="仿宋" w:hAnsi="仿宋" w:eastAsia="仿宋"/>
          <w:sz w:val="32"/>
          <w:szCs w:val="32"/>
        </w:rPr>
        <w:t xml:space="preserve">   信息化网络管理专项培训次数≥6次</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工作任务合格率    完成合格的工作数量占总量的比重≥90%</w:t>
      </w:r>
    </w:p>
    <w:p>
      <w:pPr>
        <w:pStyle w:val="17"/>
        <w:rPr>
          <w:rFonts w:ascii="仿宋" w:hAnsi="仿宋" w:eastAsia="仿宋"/>
          <w:sz w:val="32"/>
          <w:szCs w:val="32"/>
        </w:rPr>
      </w:pPr>
      <w:r>
        <w:rPr>
          <w:rFonts w:ascii="仿宋" w:hAnsi="仿宋" w:eastAsia="仿宋"/>
          <w:sz w:val="32"/>
          <w:szCs w:val="32"/>
        </w:rPr>
        <w:t>区域内提升情况    区域内提升情况得到提升</w:t>
      </w:r>
    </w:p>
    <w:p>
      <w:pPr>
        <w:pStyle w:val="17"/>
        <w:rPr>
          <w:rFonts w:ascii="仿宋" w:hAnsi="仿宋" w:eastAsia="仿宋"/>
          <w:sz w:val="32"/>
          <w:szCs w:val="32"/>
        </w:rPr>
      </w:pPr>
      <w:r>
        <w:rPr>
          <w:rFonts w:ascii="仿宋" w:hAnsi="仿宋" w:eastAsia="仿宋"/>
          <w:sz w:val="32"/>
          <w:szCs w:val="32"/>
        </w:rPr>
        <w:t>执法对象满意度    通过问卷调查，满意率≥90%</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6、行政综合服务工作管理</w:t>
      </w:r>
    </w:p>
    <w:p>
      <w:pPr>
        <w:pStyle w:val="17"/>
        <w:rPr>
          <w:rFonts w:ascii="仿宋" w:hAnsi="仿宋" w:eastAsia="仿宋"/>
          <w:sz w:val="32"/>
          <w:szCs w:val="32"/>
        </w:rPr>
      </w:pPr>
      <w:r>
        <w:rPr>
          <w:rFonts w:ascii="仿宋" w:hAnsi="仿宋" w:eastAsia="仿宋"/>
          <w:sz w:val="32"/>
          <w:szCs w:val="32"/>
        </w:rPr>
        <w:t>绩效目标：保障辖区内行政审批服务工作。保障辖区内计划生育、社会保障、民政事务、残疾人保障、医疗保障等相关工作。</w:t>
      </w:r>
    </w:p>
    <w:p>
      <w:pPr>
        <w:pStyle w:val="17"/>
        <w:rPr>
          <w:rFonts w:ascii="仿宋" w:hAnsi="仿宋" w:eastAsia="仿宋"/>
          <w:sz w:val="32"/>
          <w:szCs w:val="32"/>
        </w:rPr>
      </w:pPr>
      <w:r>
        <w:rPr>
          <w:rFonts w:ascii="仿宋" w:hAnsi="仿宋" w:eastAsia="仿宋"/>
          <w:sz w:val="32"/>
          <w:szCs w:val="32"/>
        </w:rPr>
        <w:t>绩效指标：</w:t>
      </w:r>
    </w:p>
    <w:p>
      <w:pPr>
        <w:pStyle w:val="17"/>
        <w:rPr>
          <w:rFonts w:ascii="仿宋" w:hAnsi="仿宋" w:eastAsia="仿宋"/>
          <w:sz w:val="32"/>
          <w:szCs w:val="32"/>
        </w:rPr>
      </w:pPr>
      <w:r>
        <w:rPr>
          <w:rFonts w:ascii="仿宋" w:hAnsi="仿宋" w:eastAsia="仿宋"/>
          <w:sz w:val="32"/>
          <w:szCs w:val="32"/>
        </w:rPr>
        <w:t>协调解决问题情况</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协调解决域内群众的有关问题的次数≥24次</w:t>
      </w:r>
    </w:p>
    <w:p>
      <w:pPr>
        <w:pStyle w:val="17"/>
        <w:rPr>
          <w:rFonts w:ascii="仿宋" w:hAnsi="仿宋" w:eastAsia="仿宋"/>
          <w:sz w:val="32"/>
          <w:szCs w:val="32"/>
        </w:rPr>
      </w:pPr>
      <w:r>
        <w:rPr>
          <w:rFonts w:ascii="仿宋" w:hAnsi="仿宋" w:eastAsia="仿宋"/>
          <w:sz w:val="32"/>
          <w:szCs w:val="32"/>
        </w:rPr>
        <w:t>工作完成及时率</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行政审批工作完成及时率≥90%</w:t>
      </w:r>
    </w:p>
    <w:p>
      <w:pPr>
        <w:pStyle w:val="17"/>
        <w:rPr>
          <w:rFonts w:ascii="仿宋" w:hAnsi="仿宋" w:eastAsia="仿宋"/>
          <w:sz w:val="32"/>
          <w:szCs w:val="32"/>
        </w:rPr>
      </w:pPr>
      <w:r>
        <w:rPr>
          <w:rFonts w:ascii="仿宋" w:hAnsi="仿宋" w:eastAsia="仿宋"/>
          <w:sz w:val="32"/>
          <w:szCs w:val="32"/>
        </w:rPr>
        <w:t>资金发放率</w:t>
      </w:r>
      <w:r>
        <w:rPr>
          <w:rFonts w:ascii="仿宋" w:hAnsi="仿宋" w:eastAsia="仿宋"/>
          <w:sz w:val="32"/>
          <w:szCs w:val="32"/>
        </w:rPr>
        <w:tab/>
      </w:r>
      <w:r>
        <w:rPr>
          <w:rFonts w:ascii="仿宋" w:hAnsi="仿宋" w:eastAsia="仿宋"/>
          <w:sz w:val="32"/>
          <w:szCs w:val="32"/>
        </w:rPr>
        <w:t xml:space="preserve">       资金发放及时率≥90%</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工作完成率</w:t>
      </w:r>
      <w:r>
        <w:rPr>
          <w:rFonts w:ascii="仿宋" w:hAnsi="仿宋" w:eastAsia="仿宋"/>
          <w:sz w:val="32"/>
          <w:szCs w:val="32"/>
        </w:rPr>
        <w:tab/>
      </w:r>
      <w:r>
        <w:rPr>
          <w:rFonts w:ascii="仿宋" w:hAnsi="仿宋" w:eastAsia="仿宋"/>
          <w:sz w:val="32"/>
          <w:szCs w:val="32"/>
        </w:rPr>
        <w:t xml:space="preserve">      </w:t>
      </w:r>
      <w:r>
        <w:rPr>
          <w:rFonts w:hint="eastAsia" w:ascii="仿宋" w:hAnsi="仿宋" w:eastAsia="仿宋"/>
          <w:sz w:val="32"/>
          <w:szCs w:val="32"/>
          <w:lang w:eastAsia="zh-CN"/>
        </w:rPr>
        <w:t xml:space="preserve"> </w:t>
      </w:r>
      <w:r>
        <w:rPr>
          <w:rFonts w:ascii="仿宋" w:hAnsi="仿宋" w:eastAsia="仿宋"/>
          <w:sz w:val="32"/>
          <w:szCs w:val="32"/>
        </w:rPr>
        <w:t>全年行政审批工作完成率≥90%</w:t>
      </w:r>
    </w:p>
    <w:p>
      <w:pPr>
        <w:pStyle w:val="17"/>
        <w:rPr>
          <w:rFonts w:ascii="仿宋" w:hAnsi="仿宋" w:eastAsia="仿宋"/>
          <w:sz w:val="32"/>
          <w:szCs w:val="32"/>
        </w:rPr>
      </w:pPr>
      <w:r>
        <w:rPr>
          <w:rFonts w:ascii="仿宋" w:hAnsi="仿宋" w:eastAsia="仿宋"/>
          <w:sz w:val="32"/>
          <w:szCs w:val="32"/>
        </w:rPr>
        <w:t>受益对象满意度　   满意率≥90%</w:t>
      </w:r>
    </w:p>
    <w:p>
      <w:pPr>
        <w:pStyle w:val="17"/>
        <w:rPr>
          <w:rFonts w:ascii="仿宋" w:hAnsi="仿宋" w:eastAsia="仿宋"/>
          <w:sz w:val="32"/>
          <w:szCs w:val="32"/>
        </w:rPr>
      </w:pPr>
      <w:r>
        <w:rPr>
          <w:rFonts w:ascii="仿宋" w:hAnsi="仿宋" w:eastAsia="仿宋"/>
          <w:sz w:val="32"/>
          <w:szCs w:val="32"/>
        </w:rPr>
        <w:t>7、农业综合服务工作管理</w:t>
      </w:r>
    </w:p>
    <w:p>
      <w:pPr>
        <w:pStyle w:val="17"/>
        <w:rPr>
          <w:rFonts w:ascii="仿宋" w:hAnsi="仿宋" w:eastAsia="仿宋"/>
          <w:sz w:val="32"/>
          <w:szCs w:val="32"/>
        </w:rPr>
      </w:pPr>
      <w:r>
        <w:rPr>
          <w:rFonts w:ascii="仿宋" w:hAnsi="仿宋" w:eastAsia="仿宋"/>
          <w:sz w:val="32"/>
          <w:szCs w:val="32"/>
        </w:rPr>
        <w:t>绩效目标：根据市、县的总体要求，做好村民委员会成员的任期和离任经济责任审计、辖区农村三资管理、村务公开、农村土地承包管理相关工作、按照职责分工负责辖区农民负担监管工作，农村重点改革任务，负责电代煤、气代煤管，做好本</w:t>
      </w:r>
      <w:r>
        <w:rPr>
          <w:rFonts w:hint="eastAsia" w:ascii="仿宋" w:hAnsi="仿宋" w:eastAsia="仿宋"/>
          <w:sz w:val="32"/>
          <w:szCs w:val="32"/>
          <w:lang w:eastAsia="zh-CN"/>
        </w:rPr>
        <w:t>乡</w:t>
      </w:r>
      <w:r>
        <w:rPr>
          <w:rFonts w:ascii="仿宋" w:hAnsi="仿宋" w:eastAsia="仿宋"/>
          <w:sz w:val="32"/>
          <w:szCs w:val="32"/>
        </w:rPr>
        <w:t>建设管理工作，积极主动地抓好各项工作的落实，确保各项目标任务的完成。</w:t>
      </w:r>
    </w:p>
    <w:p>
      <w:pPr>
        <w:pStyle w:val="17"/>
        <w:rPr>
          <w:rFonts w:ascii="仿宋" w:hAnsi="仿宋" w:eastAsia="仿宋"/>
          <w:sz w:val="32"/>
          <w:szCs w:val="32"/>
        </w:rPr>
      </w:pPr>
      <w:r>
        <w:rPr>
          <w:rFonts w:ascii="仿宋" w:hAnsi="仿宋" w:eastAsia="仿宋"/>
          <w:sz w:val="32"/>
          <w:szCs w:val="32"/>
        </w:rPr>
        <w:t>绩效指标：</w:t>
      </w:r>
    </w:p>
    <w:p>
      <w:pPr>
        <w:pStyle w:val="17"/>
        <w:rPr>
          <w:rFonts w:ascii="仿宋" w:hAnsi="仿宋" w:eastAsia="仿宋"/>
          <w:sz w:val="32"/>
          <w:szCs w:val="32"/>
        </w:rPr>
      </w:pPr>
      <w:r>
        <w:rPr>
          <w:rFonts w:ascii="仿宋" w:hAnsi="仿宋" w:eastAsia="仿宋"/>
          <w:sz w:val="32"/>
          <w:szCs w:val="32"/>
        </w:rPr>
        <w:t>农业工作完成率</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全年农业综合服务工作完成率≥90%</w:t>
      </w:r>
    </w:p>
    <w:p>
      <w:pPr>
        <w:pStyle w:val="17"/>
        <w:rPr>
          <w:rFonts w:ascii="仿宋" w:hAnsi="仿宋" w:eastAsia="仿宋"/>
          <w:sz w:val="32"/>
          <w:szCs w:val="32"/>
        </w:rPr>
      </w:pPr>
      <w:r>
        <w:rPr>
          <w:rFonts w:ascii="仿宋" w:hAnsi="仿宋" w:eastAsia="仿宋"/>
          <w:sz w:val="32"/>
          <w:szCs w:val="32"/>
        </w:rPr>
        <w:t>双代资金发放率</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电代煤、气代煤补助资金发放率≥90%</w:t>
      </w:r>
    </w:p>
    <w:p>
      <w:pPr>
        <w:pStyle w:val="17"/>
        <w:rPr>
          <w:rFonts w:ascii="仿宋" w:hAnsi="仿宋" w:eastAsia="仿宋"/>
          <w:sz w:val="32"/>
          <w:szCs w:val="32"/>
        </w:rPr>
      </w:pPr>
      <w:r>
        <w:rPr>
          <w:rFonts w:ascii="仿宋" w:hAnsi="仿宋" w:eastAsia="仿宋"/>
          <w:sz w:val="32"/>
          <w:szCs w:val="32"/>
        </w:rPr>
        <w:t>提高农民增收率　</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提高农民增收情况比率≥90%</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提高就业增长率</w:t>
      </w:r>
      <w:r>
        <w:rPr>
          <w:rFonts w:hint="eastAsia" w:ascii="仿宋" w:hAnsi="仿宋" w:eastAsia="仿宋"/>
          <w:sz w:val="32"/>
          <w:szCs w:val="32"/>
          <w:lang w:eastAsia="zh-CN"/>
        </w:rPr>
        <w:t xml:space="preserve">      </w:t>
      </w:r>
      <w:r>
        <w:rPr>
          <w:rFonts w:ascii="仿宋" w:hAnsi="仿宋" w:eastAsia="仿宋"/>
          <w:sz w:val="32"/>
          <w:szCs w:val="32"/>
        </w:rPr>
        <w:t>提高就业增长情况比率≥90%</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服务对象满意度</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服务对象的满意度≥90%</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8、退役军人服务工作管理</w:t>
      </w:r>
    </w:p>
    <w:p>
      <w:pPr>
        <w:pStyle w:val="17"/>
        <w:rPr>
          <w:rFonts w:ascii="仿宋" w:hAnsi="仿宋" w:eastAsia="仿宋"/>
          <w:sz w:val="32"/>
          <w:szCs w:val="32"/>
        </w:rPr>
      </w:pPr>
      <w:r>
        <w:rPr>
          <w:rFonts w:ascii="仿宋" w:hAnsi="仿宋" w:eastAsia="仿宋"/>
          <w:sz w:val="32"/>
          <w:szCs w:val="32"/>
        </w:rPr>
        <w:t>绩效目标：维护退役军人管理服务站正常运行，保障退役军人合法权益，解除现役军人后顾之忧，稳定军民军心。保障八一慰问金的发放。</w:t>
      </w:r>
    </w:p>
    <w:p>
      <w:pPr>
        <w:pStyle w:val="17"/>
        <w:rPr>
          <w:rFonts w:ascii="仿宋" w:hAnsi="仿宋" w:eastAsia="仿宋"/>
          <w:sz w:val="32"/>
          <w:szCs w:val="32"/>
        </w:rPr>
      </w:pPr>
      <w:r>
        <w:rPr>
          <w:rFonts w:ascii="仿宋" w:hAnsi="仿宋" w:eastAsia="仿宋"/>
          <w:sz w:val="32"/>
          <w:szCs w:val="32"/>
        </w:rPr>
        <w:t>绩效指标：</w:t>
      </w:r>
    </w:p>
    <w:p>
      <w:pPr>
        <w:pStyle w:val="17"/>
        <w:rPr>
          <w:rFonts w:ascii="仿宋" w:hAnsi="仿宋" w:eastAsia="仿宋"/>
          <w:sz w:val="32"/>
          <w:szCs w:val="32"/>
        </w:rPr>
      </w:pPr>
      <w:r>
        <w:rPr>
          <w:rFonts w:ascii="仿宋" w:hAnsi="仿宋" w:eastAsia="仿宋"/>
          <w:sz w:val="32"/>
          <w:szCs w:val="32"/>
        </w:rPr>
        <w:t>民兵集训完成率</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已完成民兵集训工作占应完成的比率≥90%</w:t>
      </w:r>
    </w:p>
    <w:p>
      <w:pPr>
        <w:pStyle w:val="17"/>
        <w:rPr>
          <w:rFonts w:ascii="仿宋" w:hAnsi="仿宋" w:eastAsia="仿宋"/>
          <w:sz w:val="32"/>
          <w:szCs w:val="32"/>
        </w:rPr>
      </w:pPr>
      <w:r>
        <w:rPr>
          <w:rFonts w:ascii="仿宋" w:hAnsi="仿宋" w:eastAsia="仿宋"/>
          <w:sz w:val="32"/>
          <w:szCs w:val="32"/>
        </w:rPr>
        <w:t>培训参与度（%）</w:t>
      </w:r>
      <w:r>
        <w:rPr>
          <w:rFonts w:ascii="仿宋" w:hAnsi="仿宋" w:eastAsia="仿宋"/>
          <w:sz w:val="32"/>
          <w:szCs w:val="32"/>
        </w:rPr>
        <w:tab/>
      </w:r>
      <w:r>
        <w:rPr>
          <w:rFonts w:ascii="仿宋" w:hAnsi="仿宋" w:eastAsia="仿宋"/>
          <w:sz w:val="32"/>
          <w:szCs w:val="32"/>
        </w:rPr>
        <w:t>实际参加培训人数占应参加培训人数的比率≥90%</w:t>
      </w:r>
    </w:p>
    <w:p>
      <w:pPr>
        <w:pStyle w:val="17"/>
        <w:rPr>
          <w:rFonts w:ascii="仿宋" w:hAnsi="仿宋" w:eastAsia="仿宋"/>
          <w:sz w:val="32"/>
          <w:szCs w:val="32"/>
        </w:rPr>
      </w:pPr>
      <w:r>
        <w:rPr>
          <w:rFonts w:ascii="仿宋" w:hAnsi="仿宋" w:eastAsia="仿宋"/>
          <w:sz w:val="32"/>
          <w:szCs w:val="32"/>
        </w:rPr>
        <w:t>征兵工作完成率</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已完成征兵工作占应完成征兵工作的比率≥90%</w:t>
      </w:r>
    </w:p>
    <w:p>
      <w:pPr>
        <w:pStyle w:val="17"/>
        <w:rPr>
          <w:rFonts w:ascii="仿宋" w:hAnsi="仿宋" w:eastAsia="仿宋"/>
          <w:sz w:val="32"/>
          <w:szCs w:val="32"/>
        </w:rPr>
      </w:pPr>
      <w:r>
        <w:rPr>
          <w:rFonts w:ascii="仿宋" w:hAnsi="仿宋" w:eastAsia="仿宋"/>
          <w:sz w:val="32"/>
          <w:szCs w:val="32"/>
        </w:rPr>
        <w:t>慰问金发放率</w:t>
      </w:r>
      <w:r>
        <w:rPr>
          <w:rFonts w:ascii="仿宋" w:hAnsi="仿宋" w:eastAsia="仿宋"/>
          <w:sz w:val="32"/>
          <w:szCs w:val="32"/>
        </w:rPr>
        <w:tab/>
      </w:r>
      <w:r>
        <w:rPr>
          <w:rFonts w:ascii="仿宋" w:hAnsi="仿宋" w:eastAsia="仿宋"/>
          <w:sz w:val="32"/>
          <w:szCs w:val="32"/>
        </w:rPr>
        <w:t xml:space="preserve">     已发放人数占应发放人群的比率≥90%</w:t>
      </w:r>
    </w:p>
    <w:p>
      <w:pPr>
        <w:pStyle w:val="17"/>
        <w:rPr>
          <w:rFonts w:ascii="仿宋" w:hAnsi="仿宋" w:eastAsia="仿宋"/>
          <w:sz w:val="32"/>
          <w:szCs w:val="32"/>
        </w:rPr>
      </w:pPr>
      <w:r>
        <w:rPr>
          <w:rFonts w:ascii="仿宋" w:hAnsi="仿宋" w:eastAsia="仿宋"/>
          <w:sz w:val="32"/>
          <w:szCs w:val="32"/>
        </w:rPr>
        <w:t>服务对象满意度</w:t>
      </w:r>
      <w:r>
        <w:rPr>
          <w:rFonts w:ascii="仿宋" w:hAnsi="仿宋" w:eastAsia="仿宋"/>
          <w:sz w:val="32"/>
          <w:szCs w:val="32"/>
        </w:rPr>
        <w:tab/>
      </w:r>
      <w:r>
        <w:rPr>
          <w:rFonts w:ascii="仿宋" w:hAnsi="仿宋" w:eastAsia="仿宋"/>
          <w:sz w:val="32"/>
          <w:szCs w:val="32"/>
        </w:rPr>
        <w:t>区内服务对象的满意度</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9、综合业务事务工作管理</w:t>
      </w:r>
    </w:p>
    <w:p>
      <w:pPr>
        <w:pStyle w:val="17"/>
        <w:rPr>
          <w:rFonts w:ascii="仿宋" w:hAnsi="仿宋" w:eastAsia="仿宋"/>
          <w:sz w:val="32"/>
          <w:szCs w:val="32"/>
        </w:rPr>
      </w:pPr>
      <w:r>
        <w:rPr>
          <w:rFonts w:ascii="仿宋" w:hAnsi="仿宋" w:eastAsia="仿宋"/>
          <w:sz w:val="32"/>
          <w:szCs w:val="32"/>
        </w:rPr>
        <w:t>绩效目标：以服务村民和机关保障有力为目标，紧紧围绕县委县政府，强化使命担当，促进我</w:t>
      </w:r>
      <w:r>
        <w:rPr>
          <w:rFonts w:hint="eastAsia" w:ascii="仿宋" w:hAnsi="仿宋" w:eastAsia="仿宋"/>
          <w:sz w:val="32"/>
          <w:szCs w:val="32"/>
          <w:lang w:eastAsia="zh-CN"/>
        </w:rPr>
        <w:t>乡</w:t>
      </w:r>
      <w:r>
        <w:rPr>
          <w:rFonts w:ascii="仿宋" w:hAnsi="仿宋" w:eastAsia="仿宋"/>
          <w:sz w:val="32"/>
          <w:szCs w:val="32"/>
        </w:rPr>
        <w:t>全面工作的实施。</w:t>
      </w:r>
    </w:p>
    <w:p>
      <w:pPr>
        <w:pStyle w:val="17"/>
        <w:rPr>
          <w:rFonts w:ascii="仿宋" w:hAnsi="仿宋" w:eastAsia="仿宋"/>
          <w:sz w:val="32"/>
          <w:szCs w:val="32"/>
        </w:rPr>
      </w:pPr>
      <w:r>
        <w:rPr>
          <w:rFonts w:ascii="仿宋" w:hAnsi="仿宋" w:eastAsia="仿宋"/>
          <w:sz w:val="32"/>
          <w:szCs w:val="32"/>
        </w:rPr>
        <w:t>绩效指标：</w:t>
      </w:r>
    </w:p>
    <w:p>
      <w:pPr>
        <w:pStyle w:val="17"/>
        <w:rPr>
          <w:rFonts w:ascii="仿宋" w:hAnsi="仿宋" w:eastAsia="仿宋"/>
          <w:sz w:val="32"/>
          <w:szCs w:val="32"/>
        </w:rPr>
      </w:pPr>
      <w:r>
        <w:rPr>
          <w:rFonts w:ascii="仿宋" w:hAnsi="仿宋" w:eastAsia="仿宋"/>
          <w:sz w:val="32"/>
          <w:szCs w:val="32"/>
        </w:rPr>
        <w:t xml:space="preserve">综合事务管理工作完成率    </w:t>
      </w:r>
      <w:r>
        <w:rPr>
          <w:rFonts w:hint="eastAsia" w:ascii="仿宋" w:hAnsi="仿宋" w:eastAsia="仿宋"/>
          <w:sz w:val="32"/>
          <w:szCs w:val="32"/>
          <w:lang w:eastAsia="zh-CN"/>
        </w:rPr>
        <w:t xml:space="preserve">  </w:t>
      </w:r>
      <w:r>
        <w:rPr>
          <w:rFonts w:ascii="仿宋" w:hAnsi="仿宋" w:eastAsia="仿宋"/>
          <w:sz w:val="32"/>
          <w:szCs w:val="32"/>
        </w:rPr>
        <w:t>综合事务工作任务完成率≥90%</w:t>
      </w:r>
    </w:p>
    <w:p>
      <w:pPr>
        <w:pStyle w:val="17"/>
        <w:rPr>
          <w:rFonts w:ascii="仿宋" w:hAnsi="仿宋" w:eastAsia="仿宋"/>
          <w:sz w:val="32"/>
          <w:szCs w:val="32"/>
        </w:rPr>
      </w:pPr>
      <w:r>
        <w:rPr>
          <w:rFonts w:ascii="仿宋" w:hAnsi="仿宋" w:eastAsia="仿宋"/>
          <w:sz w:val="32"/>
          <w:szCs w:val="32"/>
        </w:rPr>
        <w:t>综合业务完成时效情况        工作完成及时率≥90%</w:t>
      </w:r>
      <w:r>
        <w:rPr>
          <w:rFonts w:ascii="仿宋" w:hAnsi="仿宋" w:eastAsia="仿宋"/>
          <w:sz w:val="32"/>
          <w:szCs w:val="32"/>
        </w:rPr>
        <w:tab/>
      </w:r>
    </w:p>
    <w:p>
      <w:pPr>
        <w:pStyle w:val="17"/>
        <w:rPr>
          <w:rFonts w:ascii="仿宋" w:hAnsi="仿宋" w:eastAsia="仿宋"/>
          <w:sz w:val="32"/>
          <w:szCs w:val="32"/>
        </w:rPr>
      </w:pPr>
      <w:r>
        <w:rPr>
          <w:rFonts w:ascii="仿宋" w:hAnsi="仿宋" w:eastAsia="仿宋"/>
          <w:sz w:val="32"/>
          <w:szCs w:val="32"/>
        </w:rPr>
        <w:t>事项督查反馈率（%）         事项督查已反馈事件占应反馈事件的比率≥90%</w:t>
      </w:r>
    </w:p>
    <w:p>
      <w:pPr>
        <w:pStyle w:val="17"/>
        <w:rPr>
          <w:rFonts w:ascii="仿宋" w:hAnsi="仿宋" w:eastAsia="仿宋"/>
          <w:sz w:val="32"/>
          <w:szCs w:val="32"/>
        </w:rPr>
      </w:pPr>
      <w:r>
        <w:rPr>
          <w:rFonts w:ascii="仿宋" w:hAnsi="仿宋" w:eastAsia="仿宋"/>
          <w:sz w:val="32"/>
          <w:szCs w:val="32"/>
        </w:rPr>
        <w:t>工作效率提升情况</w:t>
      </w:r>
      <w:r>
        <w:rPr>
          <w:rFonts w:ascii="仿宋" w:hAnsi="仿宋" w:eastAsia="仿宋"/>
          <w:sz w:val="32"/>
          <w:szCs w:val="32"/>
        </w:rPr>
        <w:tab/>
      </w:r>
      <w:r>
        <w:rPr>
          <w:rFonts w:ascii="仿宋" w:hAnsi="仿宋" w:eastAsia="仿宋"/>
          <w:sz w:val="32"/>
          <w:szCs w:val="32"/>
        </w:rPr>
        <w:t xml:space="preserve">        </w:t>
      </w:r>
      <w:r>
        <w:rPr>
          <w:rFonts w:hint="eastAsia" w:ascii="仿宋" w:hAnsi="仿宋" w:eastAsia="仿宋"/>
          <w:sz w:val="32"/>
          <w:szCs w:val="32"/>
          <w:lang w:eastAsia="zh-CN"/>
        </w:rPr>
        <w:t xml:space="preserve">   </w:t>
      </w:r>
      <w:r>
        <w:rPr>
          <w:rFonts w:ascii="仿宋" w:hAnsi="仿宋" w:eastAsia="仿宋"/>
          <w:sz w:val="32"/>
          <w:szCs w:val="32"/>
        </w:rPr>
        <w:t>工作效率提升情况得到提升提升</w:t>
      </w:r>
    </w:p>
    <w:p>
      <w:pPr>
        <w:pStyle w:val="17"/>
        <w:rPr>
          <w:rFonts w:ascii="仿宋" w:hAnsi="仿宋" w:eastAsia="仿宋"/>
          <w:sz w:val="32"/>
          <w:szCs w:val="32"/>
        </w:rPr>
      </w:pPr>
      <w:r>
        <w:rPr>
          <w:rFonts w:ascii="仿宋" w:hAnsi="仿宋" w:eastAsia="仿宋"/>
          <w:sz w:val="32"/>
          <w:szCs w:val="32"/>
        </w:rPr>
        <w:t>受益对象满意度              满意率≥90%</w:t>
      </w:r>
    </w:p>
    <w:p>
      <w:pPr>
        <w:spacing w:line="500" w:lineRule="exact"/>
        <w:ind w:firstLine="560"/>
        <w:rPr>
          <w:rFonts w:ascii="楷体" w:hAnsi="楷体" w:eastAsia="楷体"/>
          <w:b/>
          <w:sz w:val="32"/>
          <w:szCs w:val="32"/>
        </w:rPr>
      </w:pPr>
      <w:r>
        <w:rPr>
          <w:rFonts w:ascii="楷体" w:hAnsi="楷体" w:eastAsia="楷体"/>
          <w:b/>
          <w:color w:val="000000"/>
          <w:sz w:val="32"/>
          <w:szCs w:val="32"/>
        </w:rPr>
        <w:t>（三）工作保障措施</w:t>
      </w:r>
    </w:p>
    <w:p>
      <w:pPr>
        <w:pStyle w:val="18"/>
        <w:rPr>
          <w:rFonts w:ascii="仿宋" w:hAnsi="仿宋" w:eastAsia="仿宋"/>
          <w:sz w:val="32"/>
          <w:szCs w:val="32"/>
        </w:rPr>
      </w:pPr>
      <w:r>
        <w:rPr>
          <w:rFonts w:ascii="仿宋" w:hAnsi="仿宋" w:eastAsia="仿宋"/>
          <w:sz w:val="32"/>
          <w:szCs w:val="32"/>
        </w:rPr>
        <w:t>在2023年，我</w:t>
      </w:r>
      <w:r>
        <w:rPr>
          <w:rFonts w:hint="eastAsia" w:ascii="仿宋" w:hAnsi="仿宋" w:eastAsia="仿宋"/>
          <w:sz w:val="32"/>
          <w:szCs w:val="32"/>
          <w:lang w:eastAsia="zh-CN"/>
        </w:rPr>
        <w:t>乡</w:t>
      </w:r>
      <w:r>
        <w:rPr>
          <w:rFonts w:ascii="仿宋" w:hAnsi="仿宋" w:eastAsia="仿宋"/>
          <w:sz w:val="32"/>
          <w:szCs w:val="32"/>
        </w:rPr>
        <w:t>将凝聚共识，形成合力，重点突破，稳步推进，采取多种措施做好以下几方面的工作：</w:t>
      </w:r>
    </w:p>
    <w:p>
      <w:pPr>
        <w:pStyle w:val="18"/>
        <w:rPr>
          <w:rFonts w:ascii="仿宋" w:hAnsi="仿宋" w:eastAsia="仿宋"/>
          <w:sz w:val="32"/>
          <w:szCs w:val="32"/>
        </w:rPr>
      </w:pPr>
      <w:r>
        <w:rPr>
          <w:rFonts w:hint="eastAsia" w:ascii="仿宋" w:hAnsi="仿宋" w:eastAsia="仿宋"/>
          <w:sz w:val="32"/>
          <w:szCs w:val="32"/>
          <w:lang w:eastAsia="zh-CN"/>
        </w:rPr>
        <w:t>1、</w:t>
      </w:r>
      <w:r>
        <w:rPr>
          <w:rFonts w:ascii="仿宋" w:hAnsi="仿宋" w:eastAsia="仿宋"/>
          <w:sz w:val="32"/>
          <w:szCs w:val="32"/>
        </w:rPr>
        <w:t>完善制度建设。</w:t>
      </w:r>
    </w:p>
    <w:p>
      <w:pPr>
        <w:pStyle w:val="18"/>
        <w:rPr>
          <w:rFonts w:ascii="仿宋" w:hAnsi="仿宋" w:eastAsia="仿宋"/>
          <w:sz w:val="32"/>
          <w:szCs w:val="32"/>
        </w:rPr>
      </w:pPr>
      <w:r>
        <w:rPr>
          <w:rFonts w:ascii="仿宋" w:hAnsi="仿宋" w:eastAsia="仿宋"/>
          <w:sz w:val="32"/>
          <w:szCs w:val="32"/>
        </w:rPr>
        <w:t>根据上级文件要求结合我</w:t>
      </w:r>
      <w:r>
        <w:rPr>
          <w:rFonts w:hint="eastAsia" w:ascii="仿宋" w:hAnsi="仿宋" w:eastAsia="仿宋"/>
          <w:sz w:val="32"/>
          <w:szCs w:val="32"/>
          <w:lang w:eastAsia="zh-CN"/>
        </w:rPr>
        <w:t>乡</w:t>
      </w:r>
      <w:r>
        <w:rPr>
          <w:rFonts w:ascii="仿宋" w:hAnsi="仿宋" w:eastAsia="仿宋"/>
          <w:sz w:val="32"/>
          <w:szCs w:val="32"/>
        </w:rPr>
        <w:t>实际情况，制定和完善《永清县</w:t>
      </w:r>
      <w:r>
        <w:rPr>
          <w:rFonts w:hint="eastAsia" w:ascii="仿宋" w:hAnsi="仿宋" w:eastAsia="仿宋"/>
          <w:sz w:val="32"/>
          <w:szCs w:val="32"/>
          <w:lang w:eastAsia="zh-CN"/>
        </w:rPr>
        <w:t>三圣口乡单位</w:t>
      </w:r>
      <w:r>
        <w:rPr>
          <w:rFonts w:ascii="仿宋" w:hAnsi="仿宋" w:eastAsia="仿宋"/>
          <w:sz w:val="32"/>
          <w:szCs w:val="32"/>
        </w:rPr>
        <w:t>预算管理制度》。为全年预算绩效目标的实现奠定制度基础。</w:t>
      </w:r>
    </w:p>
    <w:p>
      <w:pPr>
        <w:pStyle w:val="18"/>
        <w:rPr>
          <w:rFonts w:ascii="仿宋" w:hAnsi="仿宋" w:eastAsia="仿宋"/>
          <w:sz w:val="32"/>
          <w:szCs w:val="32"/>
        </w:rPr>
      </w:pPr>
      <w:r>
        <w:rPr>
          <w:rFonts w:hint="eastAsia" w:ascii="仿宋" w:hAnsi="仿宋" w:eastAsia="仿宋"/>
          <w:sz w:val="32"/>
          <w:szCs w:val="32"/>
          <w:lang w:eastAsia="zh-CN"/>
        </w:rPr>
        <w:t>2、</w:t>
      </w:r>
      <w:r>
        <w:rPr>
          <w:rFonts w:ascii="仿宋" w:hAnsi="仿宋" w:eastAsia="仿宋"/>
          <w:sz w:val="32"/>
          <w:szCs w:val="32"/>
        </w:rPr>
        <w:t>加强支出管理。</w:t>
      </w:r>
    </w:p>
    <w:p>
      <w:pPr>
        <w:pStyle w:val="18"/>
        <w:rPr>
          <w:rFonts w:ascii="仿宋" w:hAnsi="仿宋" w:eastAsia="仿宋"/>
          <w:sz w:val="32"/>
          <w:szCs w:val="32"/>
        </w:rPr>
      </w:pPr>
      <w:r>
        <w:rPr>
          <w:rFonts w:ascii="仿宋" w:hAnsi="仿宋" w:eastAsia="仿宋"/>
          <w:sz w:val="32"/>
          <w:szCs w:val="32"/>
        </w:rPr>
        <w:t>进一步优化我</w:t>
      </w:r>
      <w:r>
        <w:rPr>
          <w:rFonts w:hint="eastAsia" w:ascii="仿宋" w:hAnsi="仿宋" w:eastAsia="仿宋"/>
          <w:sz w:val="32"/>
          <w:szCs w:val="32"/>
          <w:lang w:eastAsia="zh-CN"/>
        </w:rPr>
        <w:t>乡</w:t>
      </w:r>
      <w:r>
        <w:rPr>
          <w:rFonts w:ascii="仿宋" w:hAnsi="仿宋" w:eastAsia="仿宋"/>
          <w:sz w:val="32"/>
          <w:szCs w:val="32"/>
        </w:rPr>
        <w:t>支出结构，通过优化支出结构、编细编实预算、加快履行政府采购手续以及项目招投标手续，尽快启动项目，项目完成后积极组织验收等程序并及时支付资金。</w:t>
      </w:r>
    </w:p>
    <w:p>
      <w:pPr>
        <w:pStyle w:val="18"/>
        <w:rPr>
          <w:rFonts w:ascii="仿宋" w:hAnsi="仿宋" w:eastAsia="仿宋"/>
          <w:sz w:val="32"/>
          <w:szCs w:val="32"/>
        </w:rPr>
      </w:pPr>
      <w:r>
        <w:rPr>
          <w:rFonts w:hint="eastAsia" w:ascii="仿宋" w:hAnsi="仿宋" w:eastAsia="仿宋"/>
          <w:sz w:val="32"/>
          <w:szCs w:val="32"/>
          <w:lang w:eastAsia="zh-CN"/>
        </w:rPr>
        <w:t>3、</w:t>
      </w:r>
      <w:r>
        <w:rPr>
          <w:rFonts w:ascii="仿宋" w:hAnsi="仿宋" w:eastAsia="仿宋"/>
          <w:sz w:val="32"/>
          <w:szCs w:val="32"/>
        </w:rPr>
        <w:t>加强绩效运行监控。</w:t>
      </w:r>
    </w:p>
    <w:p>
      <w:pPr>
        <w:pStyle w:val="18"/>
        <w:rPr>
          <w:rFonts w:ascii="仿宋" w:hAnsi="仿宋" w:eastAsia="仿宋"/>
          <w:sz w:val="32"/>
          <w:szCs w:val="32"/>
        </w:rPr>
      </w:pPr>
      <w:r>
        <w:rPr>
          <w:rFonts w:ascii="仿宋" w:hAnsi="仿宋" w:eastAsia="仿宋"/>
          <w:sz w:val="32"/>
          <w:szCs w:val="32"/>
        </w:rPr>
        <w:t>2023年度我</w:t>
      </w:r>
      <w:r>
        <w:rPr>
          <w:rFonts w:hint="eastAsia" w:ascii="仿宋" w:hAnsi="仿宋" w:eastAsia="仿宋"/>
          <w:sz w:val="32"/>
          <w:szCs w:val="32"/>
          <w:lang w:eastAsia="zh-CN"/>
        </w:rPr>
        <w:t>乡</w:t>
      </w:r>
      <w:r>
        <w:rPr>
          <w:rFonts w:ascii="仿宋" w:hAnsi="仿宋" w:eastAsia="仿宋"/>
          <w:sz w:val="32"/>
          <w:szCs w:val="32"/>
        </w:rPr>
        <w:t>将开始按上级文件要求开展项目绩效运行监控，成立绩效监控领导小组，负责全覆盖、全过程督导</w:t>
      </w:r>
      <w:r>
        <w:rPr>
          <w:rFonts w:hint="eastAsia" w:ascii="仿宋" w:hAnsi="仿宋" w:eastAsia="仿宋"/>
          <w:sz w:val="32"/>
          <w:szCs w:val="32"/>
          <w:lang w:eastAsia="zh-CN"/>
        </w:rPr>
        <w:t>单位</w:t>
      </w:r>
      <w:r>
        <w:rPr>
          <w:rFonts w:ascii="仿宋" w:hAnsi="仿宋" w:eastAsia="仿宋"/>
          <w:sz w:val="32"/>
          <w:szCs w:val="32"/>
        </w:rPr>
        <w:t>预算绩效管理执行工作，发现问题及时采取措施，并将预算绩效管理工作纳入年度考核，确保我</w:t>
      </w:r>
      <w:r>
        <w:rPr>
          <w:rFonts w:hint="eastAsia" w:ascii="仿宋" w:hAnsi="仿宋" w:eastAsia="仿宋"/>
          <w:sz w:val="32"/>
          <w:szCs w:val="32"/>
          <w:lang w:eastAsia="zh-CN"/>
        </w:rPr>
        <w:t>乡</w:t>
      </w:r>
      <w:r>
        <w:rPr>
          <w:rFonts w:ascii="仿宋" w:hAnsi="仿宋" w:eastAsia="仿宋"/>
          <w:sz w:val="32"/>
          <w:szCs w:val="32"/>
        </w:rPr>
        <w:t>绩效目标如期保质实现。</w:t>
      </w:r>
    </w:p>
    <w:p>
      <w:pPr>
        <w:pStyle w:val="18"/>
        <w:rPr>
          <w:rFonts w:ascii="仿宋" w:hAnsi="仿宋" w:eastAsia="仿宋"/>
          <w:b/>
          <w:sz w:val="32"/>
          <w:szCs w:val="32"/>
        </w:rPr>
      </w:pPr>
      <w:r>
        <w:rPr>
          <w:rFonts w:hint="eastAsia" w:ascii="仿宋" w:hAnsi="仿宋" w:eastAsia="仿宋"/>
          <w:b/>
          <w:sz w:val="32"/>
          <w:szCs w:val="32"/>
          <w:lang w:eastAsia="zh-CN"/>
        </w:rPr>
        <w:t>4、</w:t>
      </w:r>
      <w:r>
        <w:rPr>
          <w:rFonts w:ascii="仿宋" w:hAnsi="仿宋" w:eastAsia="仿宋"/>
          <w:b/>
          <w:sz w:val="32"/>
          <w:szCs w:val="32"/>
        </w:rPr>
        <w:t>做好绩效自评。</w:t>
      </w:r>
    </w:p>
    <w:p>
      <w:pPr>
        <w:pStyle w:val="18"/>
        <w:rPr>
          <w:rFonts w:ascii="仿宋" w:hAnsi="仿宋" w:eastAsia="仿宋"/>
          <w:sz w:val="32"/>
          <w:szCs w:val="32"/>
        </w:rPr>
      </w:pPr>
      <w:r>
        <w:rPr>
          <w:rFonts w:ascii="仿宋" w:hAnsi="仿宋" w:eastAsia="仿宋"/>
          <w:sz w:val="32"/>
          <w:szCs w:val="32"/>
        </w:rPr>
        <w:t>2023年我</w:t>
      </w:r>
      <w:r>
        <w:rPr>
          <w:rFonts w:hint="eastAsia" w:ascii="仿宋" w:hAnsi="仿宋" w:eastAsia="仿宋"/>
          <w:sz w:val="32"/>
          <w:szCs w:val="32"/>
          <w:lang w:eastAsia="zh-CN"/>
        </w:rPr>
        <w:t>乡</w:t>
      </w:r>
      <w:r>
        <w:rPr>
          <w:rFonts w:ascii="仿宋" w:hAnsi="仿宋" w:eastAsia="仿宋"/>
          <w:sz w:val="32"/>
          <w:szCs w:val="32"/>
        </w:rPr>
        <w:t>按要求开展</w:t>
      </w:r>
      <w:r>
        <w:rPr>
          <w:rFonts w:hint="eastAsia" w:ascii="仿宋" w:hAnsi="仿宋" w:eastAsia="仿宋"/>
          <w:sz w:val="32"/>
          <w:szCs w:val="32"/>
          <w:lang w:eastAsia="zh-CN"/>
        </w:rPr>
        <w:t>单位</w:t>
      </w:r>
      <w:r>
        <w:rPr>
          <w:rFonts w:ascii="仿宋" w:hAnsi="仿宋" w:eastAsia="仿宋"/>
          <w:sz w:val="32"/>
          <w:szCs w:val="32"/>
        </w:rPr>
        <w:t>预算绩效自评和重点评价工作，对评价中发现的问题及时整改，调整优化支出结构，提高财政资金使用效益。</w:t>
      </w:r>
    </w:p>
    <w:p>
      <w:pPr>
        <w:pStyle w:val="18"/>
        <w:rPr>
          <w:rFonts w:ascii="仿宋" w:hAnsi="仿宋" w:eastAsia="仿宋"/>
          <w:b/>
          <w:sz w:val="32"/>
          <w:szCs w:val="32"/>
        </w:rPr>
      </w:pPr>
      <w:r>
        <w:rPr>
          <w:rFonts w:hint="eastAsia" w:ascii="仿宋" w:hAnsi="仿宋" w:eastAsia="仿宋"/>
          <w:b/>
          <w:sz w:val="32"/>
          <w:szCs w:val="32"/>
          <w:lang w:eastAsia="zh-CN"/>
        </w:rPr>
        <w:t>5、</w:t>
      </w:r>
      <w:r>
        <w:rPr>
          <w:rFonts w:ascii="仿宋" w:hAnsi="仿宋" w:eastAsia="仿宋"/>
          <w:b/>
          <w:sz w:val="32"/>
          <w:szCs w:val="32"/>
        </w:rPr>
        <w:t>规范财务资产管理。</w:t>
      </w:r>
    </w:p>
    <w:p>
      <w:pPr>
        <w:pStyle w:val="18"/>
        <w:rPr>
          <w:rFonts w:ascii="仿宋" w:hAnsi="仿宋" w:eastAsia="仿宋"/>
          <w:sz w:val="32"/>
          <w:szCs w:val="32"/>
        </w:rPr>
      </w:pPr>
      <w:r>
        <w:rPr>
          <w:rFonts w:ascii="仿宋" w:hAnsi="仿宋" w:eastAsia="仿宋"/>
          <w:sz w:val="32"/>
          <w:szCs w:val="32"/>
        </w:rPr>
        <w:t>2023年我</w:t>
      </w:r>
      <w:r>
        <w:rPr>
          <w:rFonts w:hint="eastAsia" w:ascii="仿宋" w:hAnsi="仿宋" w:eastAsia="仿宋"/>
          <w:sz w:val="32"/>
          <w:szCs w:val="32"/>
          <w:lang w:eastAsia="zh-CN"/>
        </w:rPr>
        <w:t>乡</w:t>
      </w:r>
      <w:r>
        <w:rPr>
          <w:rFonts w:ascii="仿宋" w:hAnsi="仿宋" w:eastAsia="仿宋"/>
          <w:sz w:val="32"/>
          <w:szCs w:val="32"/>
        </w:rPr>
        <w:t>将进一步完善《永清县</w:t>
      </w:r>
      <w:r>
        <w:rPr>
          <w:rFonts w:hint="eastAsia" w:ascii="仿宋" w:hAnsi="仿宋" w:eastAsia="仿宋"/>
          <w:sz w:val="32"/>
          <w:szCs w:val="32"/>
          <w:lang w:eastAsia="zh-CN"/>
        </w:rPr>
        <w:t>三圣口乡</w:t>
      </w:r>
      <w:r>
        <w:rPr>
          <w:rFonts w:ascii="仿宋" w:hAnsi="仿宋" w:eastAsia="仿宋"/>
          <w:sz w:val="32"/>
          <w:szCs w:val="32"/>
        </w:rPr>
        <w:t>财务管理制度》，严格审批程序，制定《永清县</w:t>
      </w:r>
      <w:r>
        <w:rPr>
          <w:rFonts w:hint="eastAsia" w:ascii="仿宋" w:hAnsi="仿宋" w:eastAsia="仿宋"/>
          <w:sz w:val="32"/>
          <w:szCs w:val="32"/>
          <w:lang w:eastAsia="zh-CN"/>
        </w:rPr>
        <w:t>三圣口乡</w:t>
      </w:r>
      <w:r>
        <w:rPr>
          <w:rFonts w:ascii="仿宋" w:hAnsi="仿宋" w:eastAsia="仿宋"/>
          <w:sz w:val="32"/>
          <w:szCs w:val="32"/>
        </w:rPr>
        <w:t>国有资产管理制度》，加强机关和各社区固定资产登记、使用和报废处置管理，做到支出合理，物尽其用。</w:t>
      </w:r>
    </w:p>
    <w:p>
      <w:pPr>
        <w:pStyle w:val="18"/>
        <w:rPr>
          <w:rFonts w:ascii="仿宋" w:hAnsi="仿宋" w:eastAsia="仿宋"/>
          <w:b/>
          <w:sz w:val="32"/>
          <w:szCs w:val="32"/>
        </w:rPr>
      </w:pPr>
      <w:r>
        <w:rPr>
          <w:rFonts w:hint="eastAsia" w:ascii="仿宋" w:hAnsi="仿宋" w:eastAsia="仿宋"/>
          <w:b/>
          <w:sz w:val="32"/>
          <w:szCs w:val="32"/>
          <w:lang w:eastAsia="zh-CN"/>
        </w:rPr>
        <w:t>6、</w:t>
      </w:r>
      <w:r>
        <w:rPr>
          <w:rFonts w:ascii="仿宋" w:hAnsi="仿宋" w:eastAsia="仿宋"/>
          <w:b/>
          <w:sz w:val="32"/>
          <w:szCs w:val="32"/>
        </w:rPr>
        <w:t>加强宣传培训调研。</w:t>
      </w:r>
    </w:p>
    <w:p>
      <w:pPr>
        <w:pStyle w:val="18"/>
        <w:rPr>
          <w:rFonts w:ascii="仿宋" w:hAnsi="仿宋" w:eastAsia="仿宋"/>
          <w:sz w:val="32"/>
          <w:szCs w:val="32"/>
        </w:rPr>
      </w:pPr>
      <w:r>
        <w:rPr>
          <w:rFonts w:ascii="仿宋" w:hAnsi="仿宋" w:eastAsia="仿宋"/>
          <w:sz w:val="32"/>
          <w:szCs w:val="32"/>
        </w:rPr>
        <w:t>2023年我</w:t>
      </w:r>
      <w:r>
        <w:rPr>
          <w:rFonts w:hint="eastAsia" w:ascii="仿宋" w:hAnsi="仿宋" w:eastAsia="仿宋"/>
          <w:sz w:val="32"/>
          <w:szCs w:val="32"/>
          <w:lang w:eastAsia="zh-CN"/>
        </w:rPr>
        <w:t>乡</w:t>
      </w:r>
      <w:r>
        <w:rPr>
          <w:rFonts w:ascii="仿宋" w:hAnsi="仿宋" w:eastAsia="仿宋"/>
          <w:sz w:val="32"/>
          <w:szCs w:val="32"/>
        </w:rPr>
        <w:t>将进一步加强财政和预算绩效管理人员培训，提高业务素质；加强调研，提出优化财政资金配置、提高资金使用效益的意见；并开展</w:t>
      </w:r>
      <w:r>
        <w:rPr>
          <w:rFonts w:hint="eastAsia" w:ascii="仿宋" w:hAnsi="仿宋" w:eastAsia="仿宋"/>
          <w:sz w:val="32"/>
          <w:szCs w:val="32"/>
          <w:lang w:eastAsia="zh-CN"/>
        </w:rPr>
        <w:t>单位</w:t>
      </w:r>
      <w:r>
        <w:rPr>
          <w:rFonts w:ascii="仿宋" w:hAnsi="仿宋" w:eastAsia="仿宋"/>
          <w:sz w:val="32"/>
          <w:szCs w:val="32"/>
        </w:rPr>
        <w:t>预算绩效管理知识宣传活动，全民参与绩效管理和绩效运行监控，加大宣传力度，强化预算绩效管理意识，促进预算绩效管理水平进一步提升。</w:t>
      </w:r>
    </w:p>
    <w:p>
      <w:pPr>
        <w:widowControl/>
        <w:autoSpaceDE w:val="0"/>
        <w:autoSpaceDN w:val="0"/>
        <w:adjustRightInd w:val="0"/>
        <w:rPr>
          <w:rFonts w:ascii="楷体" w:hAnsi="楷体" w:eastAsia="楷体" w:cs="楷体"/>
          <w:b/>
          <w:bCs/>
          <w:sz w:val="32"/>
          <w:szCs w:val="32"/>
        </w:rPr>
      </w:pPr>
      <w:r>
        <w:rPr>
          <w:rFonts w:hint="eastAsia" w:ascii="楷体" w:hAnsi="楷体" w:eastAsia="楷体" w:cs="楷体"/>
          <w:b/>
          <w:bCs/>
          <w:sz w:val="32"/>
          <w:szCs w:val="32"/>
        </w:rPr>
        <w:t xml:space="preserve">    （四）</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整体支出绩效目标</w:t>
      </w:r>
    </w:p>
    <w:tbl>
      <w:tblPr>
        <w:tblStyle w:val="9"/>
        <w:tblW w:w="14208" w:type="dxa"/>
        <w:tblInd w:w="0" w:type="dxa"/>
        <w:tblLayout w:type="fixed"/>
        <w:tblCellMar>
          <w:top w:w="0" w:type="dxa"/>
          <w:left w:w="0" w:type="dxa"/>
          <w:bottom w:w="0" w:type="dxa"/>
          <w:right w:w="0" w:type="dxa"/>
        </w:tblCellMar>
      </w:tblPr>
      <w:tblGrid>
        <w:gridCol w:w="450"/>
        <w:gridCol w:w="1863"/>
        <w:gridCol w:w="1965"/>
        <w:gridCol w:w="1905"/>
        <w:gridCol w:w="2280"/>
        <w:gridCol w:w="1350"/>
        <w:gridCol w:w="1260"/>
        <w:gridCol w:w="1335"/>
        <w:gridCol w:w="1800"/>
      </w:tblGrid>
      <w:tr>
        <w:tblPrEx>
          <w:tblCellMar>
            <w:top w:w="0" w:type="dxa"/>
            <w:left w:w="0" w:type="dxa"/>
            <w:bottom w:w="0" w:type="dxa"/>
            <w:right w:w="0" w:type="dxa"/>
          </w:tblCellMar>
        </w:tblPrEx>
        <w:trPr>
          <w:trHeight w:val="56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一级指标</w:t>
            </w:r>
          </w:p>
        </w:tc>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二级指标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三级指标</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评（扣）分标准</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绩效指标描述</w:t>
            </w:r>
          </w:p>
        </w:tc>
        <w:tc>
          <w:tcPr>
            <w:tcW w:w="39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指标值</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指标值确定依据</w:t>
            </w:r>
          </w:p>
        </w:tc>
      </w:tr>
      <w:tr>
        <w:tblPrEx>
          <w:tblCellMar>
            <w:top w:w="0" w:type="dxa"/>
            <w:left w:w="0" w:type="dxa"/>
            <w:bottom w:w="0" w:type="dxa"/>
            <w:right w:w="0" w:type="dxa"/>
          </w:tblCellMar>
        </w:tblPrEx>
        <w:trPr>
          <w:trHeight w:val="5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符号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值</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单位</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56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产出指标</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数量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相关会议次数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按完成率扣减</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年度内相关会议次数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计划标准</w:t>
            </w:r>
          </w:p>
        </w:tc>
      </w:tr>
      <w:tr>
        <w:tblPrEx>
          <w:tblCellMar>
            <w:top w:w="0" w:type="dxa"/>
            <w:left w:w="0" w:type="dxa"/>
            <w:bottom w:w="0" w:type="dxa"/>
            <w:right w:w="0" w:type="dxa"/>
          </w:tblCellMar>
        </w:tblPrEx>
        <w:trPr>
          <w:trHeight w:val="5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质量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购置办公用品合格率</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按完成率扣减</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购置办公用品合格率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计划标准</w:t>
            </w:r>
          </w:p>
        </w:tc>
      </w:tr>
      <w:tr>
        <w:tblPrEx>
          <w:tblCellMar>
            <w:top w:w="0" w:type="dxa"/>
            <w:left w:w="0" w:type="dxa"/>
            <w:bottom w:w="0" w:type="dxa"/>
            <w:right w:w="0" w:type="dxa"/>
          </w:tblCellMar>
        </w:tblPrEx>
        <w:trPr>
          <w:trHeight w:val="84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时效</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资金拨付及时率</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按完成率扣减</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能够及时拨付的资金数占全部资金数的比率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计划标准</w:t>
            </w:r>
          </w:p>
        </w:tc>
      </w:tr>
      <w:tr>
        <w:tblPrEx>
          <w:tblCellMar>
            <w:top w:w="0" w:type="dxa"/>
            <w:left w:w="0" w:type="dxa"/>
            <w:bottom w:w="0" w:type="dxa"/>
            <w:right w:w="0" w:type="dxa"/>
          </w:tblCellMar>
        </w:tblPrEx>
        <w:trPr>
          <w:trHeight w:val="5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成本</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项目预算控制数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按完成率扣减</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项目预算控制数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文字描述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小于等于预算数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计划标准</w:t>
            </w:r>
          </w:p>
        </w:tc>
      </w:tr>
      <w:tr>
        <w:tblPrEx>
          <w:tblCellMar>
            <w:top w:w="0" w:type="dxa"/>
            <w:left w:w="0" w:type="dxa"/>
            <w:bottom w:w="0" w:type="dxa"/>
            <w:right w:w="0" w:type="dxa"/>
          </w:tblCellMar>
        </w:tblPrEx>
        <w:trPr>
          <w:trHeight w:val="78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部门效果</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可持续影响</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提升服务管理工作水平</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按完成率扣减</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提升服务管理工作水平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文字描述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提升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计划标准</w:t>
            </w:r>
          </w:p>
        </w:tc>
      </w:tr>
      <w:tr>
        <w:tblPrEx>
          <w:tblCellMar>
            <w:top w:w="0" w:type="dxa"/>
            <w:left w:w="0" w:type="dxa"/>
            <w:bottom w:w="0" w:type="dxa"/>
            <w:right w:w="0" w:type="dxa"/>
          </w:tblCellMar>
        </w:tblPrEx>
        <w:trPr>
          <w:trHeight w:val="5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社会效益</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业务保障能力提升情况</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按完成率扣减</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业务保障能力提升情况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文字描述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提升</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计划标准</w:t>
            </w:r>
          </w:p>
        </w:tc>
      </w:tr>
      <w:tr>
        <w:tblPrEx>
          <w:tblCellMar>
            <w:top w:w="0" w:type="dxa"/>
            <w:left w:w="0" w:type="dxa"/>
            <w:bottom w:w="0" w:type="dxa"/>
            <w:right w:w="0" w:type="dxa"/>
          </w:tblCellMar>
        </w:tblPrEx>
        <w:trPr>
          <w:trHeight w:val="5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生态效益</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5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经济效益</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Cs w:val="21"/>
              </w:rPr>
            </w:pPr>
          </w:p>
        </w:tc>
      </w:tr>
      <w:tr>
        <w:tblPrEx>
          <w:tblCellMar>
            <w:top w:w="0" w:type="dxa"/>
            <w:left w:w="0" w:type="dxa"/>
            <w:bottom w:w="0" w:type="dxa"/>
            <w:right w:w="0" w:type="dxa"/>
          </w:tblCellMar>
        </w:tblPrEx>
        <w:trPr>
          <w:trHeight w:val="56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Cs w:val="21"/>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满意度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服务满意度</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按完成率扣减</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服务满意度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问卷调查</w:t>
            </w:r>
          </w:p>
        </w:tc>
      </w:tr>
    </w:tbl>
    <w:p>
      <w:pPr>
        <w:rPr>
          <w:rFonts w:eastAsia="方正仿宋_GBK"/>
          <w:sz w:val="28"/>
        </w:rPr>
        <w:sectPr>
          <w:footerReference r:id="rId3" w:type="default"/>
          <w:pgSz w:w="16839" w:h="11907" w:orient="landscape"/>
          <w:pgMar w:top="1304" w:right="1984" w:bottom="1304" w:left="1134" w:header="851" w:footer="992" w:gutter="0"/>
          <w:pgNumType w:start="1"/>
          <w:cols w:space="720" w:num="1"/>
          <w:docGrid w:type="lines" w:linePitch="312" w:charSpace="0"/>
        </w:sectPr>
      </w:pPr>
    </w:p>
    <w:p>
      <w:pPr>
        <w:jc w:val="left"/>
        <w:outlineLvl w:val="1"/>
        <w:rPr>
          <w:rFonts w:ascii="黑体" w:hAnsi="黑体" w:eastAsia="黑体" w:cs="黑体"/>
          <w:sz w:val="32"/>
          <w:szCs w:val="32"/>
        </w:rPr>
      </w:pPr>
      <w:r>
        <w:rPr>
          <w:rFonts w:hint="eastAsia" w:ascii="黑体" w:hAnsi="黑体" w:eastAsia="黑体" w:cs="黑体"/>
          <w:sz w:val="32"/>
          <w:szCs w:val="32"/>
        </w:rPr>
        <w:t>第二部分 资金绩效目标</w:t>
      </w:r>
    </w:p>
    <w:p>
      <w:pPr>
        <w:ind w:firstLine="560"/>
        <w:rPr>
          <w:rFonts w:hint="eastAsia"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1、廊财预【2022】60号三圣口乡三圣口村基础设施建设工程资金绩效目标表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1.用于解决三圣口村村民出行难的问题,完善我乡村道路基础设施建设，促进村街经济发展，改善区域环境，提升区域城乡化品味，保护区域资源，提升村民生活环境，提高村民满意度，保障村民出行安全问题。</w:t>
            </w:r>
            <w:r>
              <w:tab/>
            </w:r>
            <w:r>
              <w:tab/>
            </w:r>
            <w:r>
              <w:tab/>
            </w:r>
            <w:r>
              <w:tab/>
            </w:r>
            <w:r>
              <w:tab/>
            </w:r>
            <w:r>
              <w:tab/>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新建改建公路数量</w:t>
            </w:r>
          </w:p>
        </w:tc>
        <w:tc>
          <w:tcPr>
            <w:tcW w:w="2835" w:type="dxa"/>
            <w:vAlign w:val="center"/>
          </w:tcPr>
          <w:p>
            <w:pPr>
              <w:pStyle w:val="24"/>
            </w:pPr>
            <w:r>
              <w:t>新建改建公路数量</w:t>
            </w:r>
          </w:p>
        </w:tc>
        <w:tc>
          <w:tcPr>
            <w:tcW w:w="2551" w:type="dxa"/>
            <w:vAlign w:val="center"/>
          </w:tcPr>
          <w:p>
            <w:pPr>
              <w:pStyle w:val="24"/>
            </w:pPr>
            <w:r>
              <w:t>≥18条</w:t>
            </w:r>
          </w:p>
        </w:tc>
        <w:tc>
          <w:tcPr>
            <w:tcW w:w="2268" w:type="dxa"/>
            <w:vAlign w:val="center"/>
          </w:tcPr>
          <w:p>
            <w:pPr>
              <w:pStyle w:val="24"/>
            </w:pPr>
            <w:r>
              <w:t>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资金成本</w:t>
            </w:r>
          </w:p>
        </w:tc>
        <w:tc>
          <w:tcPr>
            <w:tcW w:w="2835" w:type="dxa"/>
            <w:vAlign w:val="center"/>
          </w:tcPr>
          <w:p>
            <w:pPr>
              <w:pStyle w:val="24"/>
            </w:pPr>
            <w:r>
              <w:t>资金成本</w:t>
            </w:r>
          </w:p>
        </w:tc>
        <w:tc>
          <w:tcPr>
            <w:tcW w:w="2551" w:type="dxa"/>
            <w:vAlign w:val="center"/>
          </w:tcPr>
          <w:p>
            <w:pPr>
              <w:pStyle w:val="24"/>
            </w:pPr>
            <w:r>
              <w:t>≤55万元</w:t>
            </w:r>
          </w:p>
        </w:tc>
        <w:tc>
          <w:tcPr>
            <w:tcW w:w="2268" w:type="dxa"/>
            <w:vAlign w:val="center"/>
          </w:tcPr>
          <w:p>
            <w:pPr>
              <w:pStyle w:val="24"/>
            </w:pPr>
            <w:r>
              <w:t>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新建改建公路验收合格率</w:t>
            </w:r>
          </w:p>
        </w:tc>
        <w:tc>
          <w:tcPr>
            <w:tcW w:w="2835" w:type="dxa"/>
            <w:vAlign w:val="center"/>
          </w:tcPr>
          <w:p>
            <w:pPr>
              <w:pStyle w:val="24"/>
            </w:pPr>
            <w:r>
              <w:t>新建改建公路验收合格率</w:t>
            </w:r>
          </w:p>
        </w:tc>
        <w:tc>
          <w:tcPr>
            <w:tcW w:w="2551" w:type="dxa"/>
            <w:vAlign w:val="center"/>
          </w:tcPr>
          <w:p>
            <w:pPr>
              <w:pStyle w:val="24"/>
            </w:pPr>
            <w:r>
              <w:t>100%</w:t>
            </w:r>
          </w:p>
        </w:tc>
        <w:tc>
          <w:tcPr>
            <w:tcW w:w="2268" w:type="dxa"/>
            <w:vAlign w:val="center"/>
          </w:tcPr>
          <w:p>
            <w:pPr>
              <w:pStyle w:val="24"/>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新建改建公路完成及时率</w:t>
            </w:r>
          </w:p>
        </w:tc>
        <w:tc>
          <w:tcPr>
            <w:tcW w:w="2835" w:type="dxa"/>
            <w:vAlign w:val="center"/>
          </w:tcPr>
          <w:p>
            <w:pPr>
              <w:pStyle w:val="24"/>
            </w:pPr>
            <w:r>
              <w:t>新建改建公路完成及时率</w:t>
            </w:r>
          </w:p>
        </w:tc>
        <w:tc>
          <w:tcPr>
            <w:tcW w:w="2551" w:type="dxa"/>
            <w:vAlign w:val="center"/>
          </w:tcPr>
          <w:p>
            <w:pPr>
              <w:pStyle w:val="24"/>
            </w:pPr>
            <w:r>
              <w:t>≥100%</w:t>
            </w:r>
          </w:p>
        </w:tc>
        <w:tc>
          <w:tcPr>
            <w:tcW w:w="2268" w:type="dxa"/>
            <w:vAlign w:val="center"/>
          </w:tcPr>
          <w:p>
            <w:pPr>
              <w:pStyle w:val="2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缩短居民出行时间</w:t>
            </w:r>
          </w:p>
        </w:tc>
        <w:tc>
          <w:tcPr>
            <w:tcW w:w="2835" w:type="dxa"/>
            <w:vAlign w:val="center"/>
          </w:tcPr>
          <w:p>
            <w:pPr>
              <w:pStyle w:val="24"/>
            </w:pPr>
            <w:r>
              <w:t>缩短居民出行时间</w:t>
            </w:r>
          </w:p>
        </w:tc>
        <w:tc>
          <w:tcPr>
            <w:tcW w:w="2551" w:type="dxa"/>
            <w:vAlign w:val="center"/>
          </w:tcPr>
          <w:p>
            <w:pPr>
              <w:pStyle w:val="24"/>
            </w:pPr>
            <w:r>
              <w:t>缩短</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可持续影响指标</w:t>
            </w:r>
          </w:p>
        </w:tc>
        <w:tc>
          <w:tcPr>
            <w:tcW w:w="2835" w:type="dxa"/>
            <w:vAlign w:val="center"/>
          </w:tcPr>
          <w:p>
            <w:pPr>
              <w:pStyle w:val="24"/>
            </w:pPr>
            <w:r>
              <w:t>路面维持年限</w:t>
            </w:r>
          </w:p>
        </w:tc>
        <w:tc>
          <w:tcPr>
            <w:tcW w:w="2835" w:type="dxa"/>
            <w:vAlign w:val="center"/>
          </w:tcPr>
          <w:p>
            <w:pPr>
              <w:pStyle w:val="24"/>
            </w:pPr>
            <w:r>
              <w:t>路面维持年限</w:t>
            </w:r>
          </w:p>
        </w:tc>
        <w:tc>
          <w:tcPr>
            <w:tcW w:w="2551" w:type="dxa"/>
            <w:vAlign w:val="center"/>
          </w:tcPr>
          <w:p>
            <w:pPr>
              <w:pStyle w:val="24"/>
            </w:pPr>
            <w:r>
              <w:t>≥10年</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群众满意度</w:t>
            </w:r>
          </w:p>
        </w:tc>
        <w:tc>
          <w:tcPr>
            <w:tcW w:w="2835" w:type="dxa"/>
            <w:vAlign w:val="center"/>
          </w:tcPr>
          <w:p>
            <w:pPr>
              <w:pStyle w:val="24"/>
            </w:pPr>
            <w:r>
              <w:t>群众满意度</w:t>
            </w:r>
          </w:p>
        </w:tc>
        <w:tc>
          <w:tcPr>
            <w:tcW w:w="2551" w:type="dxa"/>
            <w:vAlign w:val="center"/>
          </w:tcPr>
          <w:p>
            <w:pPr>
              <w:pStyle w:val="24"/>
            </w:pPr>
            <w:r>
              <w:t>≥90%</w:t>
            </w:r>
          </w:p>
        </w:tc>
        <w:tc>
          <w:tcPr>
            <w:tcW w:w="2268" w:type="dxa"/>
            <w:vAlign w:val="center"/>
          </w:tcPr>
          <w:p>
            <w:pPr>
              <w:pStyle w:val="2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2、廊财预【2022】60号三圣口乡小朱庄村基础设施建设工程资金绩效目标表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1.用于解决小朱庄村村民出行难的问题,完善我乡村道路基础设施建设，促进村街经济发展，改善区域环境，提升区域城乡化品味，保护区域资源，提升村民生活环境，提高村民满意度，保障村民出行安全问题。</w:t>
            </w:r>
            <w:r>
              <w:tab/>
            </w:r>
            <w:r>
              <w:tab/>
            </w:r>
            <w:r>
              <w:tab/>
            </w:r>
            <w:r>
              <w:tab/>
            </w:r>
            <w:r>
              <w:tab/>
            </w:r>
            <w:r>
              <w:tab/>
            </w:r>
          </w:p>
          <w:p>
            <w:pPr>
              <w:pStyle w:val="24"/>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新建改建公路数量</w:t>
            </w:r>
          </w:p>
        </w:tc>
        <w:tc>
          <w:tcPr>
            <w:tcW w:w="2835" w:type="dxa"/>
            <w:vAlign w:val="center"/>
          </w:tcPr>
          <w:p>
            <w:pPr>
              <w:pStyle w:val="24"/>
            </w:pPr>
            <w:r>
              <w:t>新建改建公路数量</w:t>
            </w:r>
          </w:p>
        </w:tc>
        <w:tc>
          <w:tcPr>
            <w:tcW w:w="2551" w:type="dxa"/>
            <w:vAlign w:val="center"/>
          </w:tcPr>
          <w:p>
            <w:pPr>
              <w:pStyle w:val="24"/>
            </w:pPr>
            <w:r>
              <w:t>≥22条</w:t>
            </w:r>
          </w:p>
        </w:tc>
        <w:tc>
          <w:tcPr>
            <w:tcW w:w="2268" w:type="dxa"/>
            <w:vAlign w:val="center"/>
          </w:tcPr>
          <w:p>
            <w:pPr>
              <w:pStyle w:val="24"/>
            </w:pPr>
            <w:r>
              <w:t>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资金成本</w:t>
            </w:r>
          </w:p>
        </w:tc>
        <w:tc>
          <w:tcPr>
            <w:tcW w:w="2835" w:type="dxa"/>
            <w:vAlign w:val="center"/>
          </w:tcPr>
          <w:p>
            <w:pPr>
              <w:pStyle w:val="24"/>
            </w:pPr>
            <w:r>
              <w:t>资金成本</w:t>
            </w:r>
          </w:p>
        </w:tc>
        <w:tc>
          <w:tcPr>
            <w:tcW w:w="2551" w:type="dxa"/>
            <w:vAlign w:val="center"/>
          </w:tcPr>
          <w:p>
            <w:pPr>
              <w:pStyle w:val="24"/>
            </w:pPr>
            <w:r>
              <w:t>≤55万元</w:t>
            </w:r>
          </w:p>
        </w:tc>
        <w:tc>
          <w:tcPr>
            <w:tcW w:w="2268" w:type="dxa"/>
            <w:vAlign w:val="center"/>
          </w:tcPr>
          <w:p>
            <w:pPr>
              <w:pStyle w:val="24"/>
            </w:pPr>
            <w:r>
              <w:t>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新建改建公路验收合格率</w:t>
            </w:r>
          </w:p>
        </w:tc>
        <w:tc>
          <w:tcPr>
            <w:tcW w:w="2835" w:type="dxa"/>
            <w:vAlign w:val="center"/>
          </w:tcPr>
          <w:p>
            <w:pPr>
              <w:pStyle w:val="24"/>
            </w:pPr>
            <w:r>
              <w:t>新建改建公路验收合格率</w:t>
            </w:r>
          </w:p>
        </w:tc>
        <w:tc>
          <w:tcPr>
            <w:tcW w:w="2551" w:type="dxa"/>
            <w:vAlign w:val="center"/>
          </w:tcPr>
          <w:p>
            <w:pPr>
              <w:pStyle w:val="24"/>
            </w:pPr>
            <w:r>
              <w:t>100%</w:t>
            </w:r>
          </w:p>
        </w:tc>
        <w:tc>
          <w:tcPr>
            <w:tcW w:w="2268" w:type="dxa"/>
            <w:vAlign w:val="center"/>
          </w:tcPr>
          <w:p>
            <w:pPr>
              <w:pStyle w:val="24"/>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新建改建公路完成及时率</w:t>
            </w:r>
          </w:p>
        </w:tc>
        <w:tc>
          <w:tcPr>
            <w:tcW w:w="2835" w:type="dxa"/>
            <w:vAlign w:val="center"/>
          </w:tcPr>
          <w:p>
            <w:pPr>
              <w:pStyle w:val="24"/>
            </w:pPr>
            <w:r>
              <w:t>新建改建公路完成及时率</w:t>
            </w:r>
          </w:p>
        </w:tc>
        <w:tc>
          <w:tcPr>
            <w:tcW w:w="2551" w:type="dxa"/>
            <w:vAlign w:val="center"/>
          </w:tcPr>
          <w:p>
            <w:pPr>
              <w:pStyle w:val="24"/>
            </w:pPr>
            <w:r>
              <w:t>≥100%</w:t>
            </w:r>
          </w:p>
        </w:tc>
        <w:tc>
          <w:tcPr>
            <w:tcW w:w="2268" w:type="dxa"/>
            <w:vAlign w:val="center"/>
          </w:tcPr>
          <w:p>
            <w:pPr>
              <w:pStyle w:val="2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缩短居民出行时间</w:t>
            </w:r>
          </w:p>
        </w:tc>
        <w:tc>
          <w:tcPr>
            <w:tcW w:w="2835" w:type="dxa"/>
            <w:vAlign w:val="center"/>
          </w:tcPr>
          <w:p>
            <w:pPr>
              <w:pStyle w:val="24"/>
            </w:pPr>
            <w:r>
              <w:t>缩短居民出行时间</w:t>
            </w:r>
          </w:p>
        </w:tc>
        <w:tc>
          <w:tcPr>
            <w:tcW w:w="2551" w:type="dxa"/>
            <w:vAlign w:val="center"/>
          </w:tcPr>
          <w:p>
            <w:pPr>
              <w:pStyle w:val="24"/>
            </w:pPr>
            <w:r>
              <w:t>缩短</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可持续影响指标</w:t>
            </w:r>
          </w:p>
        </w:tc>
        <w:tc>
          <w:tcPr>
            <w:tcW w:w="2835" w:type="dxa"/>
            <w:vAlign w:val="center"/>
          </w:tcPr>
          <w:p>
            <w:pPr>
              <w:pStyle w:val="24"/>
            </w:pPr>
            <w:r>
              <w:t>路面维持年限</w:t>
            </w:r>
          </w:p>
        </w:tc>
        <w:tc>
          <w:tcPr>
            <w:tcW w:w="2835" w:type="dxa"/>
            <w:vAlign w:val="center"/>
          </w:tcPr>
          <w:p>
            <w:pPr>
              <w:pStyle w:val="24"/>
            </w:pPr>
            <w:r>
              <w:t>路面维持年限</w:t>
            </w:r>
          </w:p>
        </w:tc>
        <w:tc>
          <w:tcPr>
            <w:tcW w:w="2551" w:type="dxa"/>
            <w:vAlign w:val="center"/>
          </w:tcPr>
          <w:p>
            <w:pPr>
              <w:pStyle w:val="24"/>
            </w:pPr>
            <w:r>
              <w:t>≥10年</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群众满意度</w:t>
            </w:r>
          </w:p>
        </w:tc>
        <w:tc>
          <w:tcPr>
            <w:tcW w:w="2835" w:type="dxa"/>
            <w:vAlign w:val="center"/>
          </w:tcPr>
          <w:p>
            <w:pPr>
              <w:pStyle w:val="24"/>
            </w:pPr>
            <w:r>
              <w:t>群众满意度</w:t>
            </w:r>
          </w:p>
        </w:tc>
        <w:tc>
          <w:tcPr>
            <w:tcW w:w="2551" w:type="dxa"/>
            <w:vAlign w:val="center"/>
          </w:tcPr>
          <w:p>
            <w:pPr>
              <w:pStyle w:val="24"/>
            </w:pPr>
            <w:r>
              <w:t>≥90%</w:t>
            </w:r>
          </w:p>
        </w:tc>
        <w:tc>
          <w:tcPr>
            <w:tcW w:w="2268" w:type="dxa"/>
            <w:vAlign w:val="center"/>
          </w:tcPr>
          <w:p>
            <w:pPr>
              <w:pStyle w:val="2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3、廊财预【2022】65号三圣口乡提前下达省级村级组织运转经费绩效目标表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通过项目的开展完成开展各类培训教、各类党务活动、慰问困难党员干部、档案整理、各类党政报刊征订、组织各类会议等工作，实现搞好服务，为域内党员职工开展党建活动和教育培训提供强有力的阵地保证，规范活动场所。</w:t>
            </w:r>
            <w:r>
              <w:tab/>
            </w:r>
            <w:r>
              <w:tab/>
            </w:r>
            <w:r>
              <w:tab/>
            </w:r>
            <w:r>
              <w:tab/>
            </w:r>
            <w:r>
              <w:tab/>
            </w:r>
            <w:r>
              <w:tab/>
            </w:r>
            <w:r>
              <w:t>"</w:t>
            </w:r>
            <w:r>
              <w:tab/>
            </w:r>
            <w:r>
              <w:tab/>
            </w:r>
            <w:r>
              <w:tab/>
            </w:r>
            <w:r>
              <w:tab/>
            </w:r>
            <w:r>
              <w:tab/>
            </w:r>
            <w:r>
              <w:tab/>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开展村街个数</w:t>
            </w:r>
          </w:p>
        </w:tc>
        <w:tc>
          <w:tcPr>
            <w:tcW w:w="2835" w:type="dxa"/>
            <w:vAlign w:val="center"/>
          </w:tcPr>
          <w:p>
            <w:pPr>
              <w:pStyle w:val="24"/>
            </w:pPr>
            <w:r>
              <w:t>开展村街个数</w:t>
            </w:r>
          </w:p>
        </w:tc>
        <w:tc>
          <w:tcPr>
            <w:tcW w:w="2551" w:type="dxa"/>
            <w:vAlign w:val="center"/>
          </w:tcPr>
          <w:p>
            <w:pPr>
              <w:pStyle w:val="24"/>
            </w:pPr>
            <w:r>
              <w:t>31个</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村街工作完成合格率</w:t>
            </w:r>
          </w:p>
        </w:tc>
        <w:tc>
          <w:tcPr>
            <w:tcW w:w="2835" w:type="dxa"/>
            <w:vAlign w:val="center"/>
          </w:tcPr>
          <w:p>
            <w:pPr>
              <w:pStyle w:val="24"/>
            </w:pPr>
            <w:r>
              <w:t>合格完成数/计划数</w:t>
            </w:r>
          </w:p>
        </w:tc>
        <w:tc>
          <w:tcPr>
            <w:tcW w:w="2551" w:type="dxa"/>
            <w:vAlign w:val="center"/>
          </w:tcPr>
          <w:p>
            <w:pPr>
              <w:pStyle w:val="24"/>
            </w:pPr>
            <w:r>
              <w:t>100%</w:t>
            </w:r>
          </w:p>
        </w:tc>
        <w:tc>
          <w:tcPr>
            <w:tcW w:w="2268" w:type="dxa"/>
            <w:vAlign w:val="center"/>
          </w:tcPr>
          <w:p>
            <w:pPr>
              <w:pStyle w:val="24"/>
            </w:pPr>
            <w:r>
              <w:t>村街考核表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项目完全支出及时率</w:t>
            </w:r>
          </w:p>
        </w:tc>
        <w:tc>
          <w:tcPr>
            <w:tcW w:w="2835" w:type="dxa"/>
            <w:vAlign w:val="center"/>
          </w:tcPr>
          <w:p>
            <w:pPr>
              <w:pStyle w:val="24"/>
            </w:pPr>
            <w:r>
              <w:t>及时支付数/计划数</w:t>
            </w:r>
          </w:p>
        </w:tc>
        <w:tc>
          <w:tcPr>
            <w:tcW w:w="2551" w:type="dxa"/>
            <w:vAlign w:val="center"/>
          </w:tcPr>
          <w:p>
            <w:pPr>
              <w:pStyle w:val="24"/>
            </w:pPr>
            <w:r>
              <w:t>100%</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项目成本控制</w:t>
            </w:r>
          </w:p>
        </w:tc>
        <w:tc>
          <w:tcPr>
            <w:tcW w:w="2835" w:type="dxa"/>
            <w:vAlign w:val="center"/>
          </w:tcPr>
          <w:p>
            <w:pPr>
              <w:pStyle w:val="24"/>
            </w:pPr>
            <w:r>
              <w:t>小于年初预算数</w:t>
            </w:r>
          </w:p>
        </w:tc>
        <w:tc>
          <w:tcPr>
            <w:tcW w:w="2551" w:type="dxa"/>
            <w:vAlign w:val="center"/>
          </w:tcPr>
          <w:p>
            <w:pPr>
              <w:pStyle w:val="24"/>
            </w:pPr>
            <w:r>
              <w:t>≤497705元</w:t>
            </w:r>
          </w:p>
        </w:tc>
        <w:tc>
          <w:tcPr>
            <w:tcW w:w="2268" w:type="dxa"/>
            <w:vAlign w:val="center"/>
          </w:tcPr>
          <w:p>
            <w:pPr>
              <w:pStyle w:val="2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提升工作效率</w:t>
            </w:r>
          </w:p>
        </w:tc>
        <w:tc>
          <w:tcPr>
            <w:tcW w:w="2835" w:type="dxa"/>
            <w:vAlign w:val="center"/>
          </w:tcPr>
          <w:p>
            <w:pPr>
              <w:pStyle w:val="24"/>
            </w:pPr>
            <w:r>
              <w:t>提升工作效率</w:t>
            </w:r>
          </w:p>
        </w:tc>
        <w:tc>
          <w:tcPr>
            <w:tcW w:w="2551" w:type="dxa"/>
            <w:vAlign w:val="center"/>
          </w:tcPr>
          <w:p>
            <w:pPr>
              <w:pStyle w:val="24"/>
            </w:pPr>
            <w:r>
              <w:t>提升</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可持续影响指标</w:t>
            </w:r>
          </w:p>
        </w:tc>
        <w:tc>
          <w:tcPr>
            <w:tcW w:w="2835" w:type="dxa"/>
            <w:vAlign w:val="center"/>
          </w:tcPr>
          <w:p>
            <w:pPr>
              <w:pStyle w:val="24"/>
            </w:pPr>
            <w:r>
              <w:t>制度及实施方案健全程度</w:t>
            </w:r>
          </w:p>
        </w:tc>
        <w:tc>
          <w:tcPr>
            <w:tcW w:w="2835" w:type="dxa"/>
            <w:vAlign w:val="center"/>
          </w:tcPr>
          <w:p>
            <w:pPr>
              <w:pStyle w:val="24"/>
            </w:pPr>
            <w:r>
              <w:t>制度及实施方案健全程度</w:t>
            </w:r>
          </w:p>
        </w:tc>
        <w:tc>
          <w:tcPr>
            <w:tcW w:w="2551" w:type="dxa"/>
            <w:vAlign w:val="center"/>
          </w:tcPr>
          <w:p>
            <w:pPr>
              <w:pStyle w:val="24"/>
            </w:pPr>
            <w:r>
              <w:t>健全</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区内服务对象的满意度</w:t>
            </w:r>
          </w:p>
        </w:tc>
        <w:tc>
          <w:tcPr>
            <w:tcW w:w="2551" w:type="dxa"/>
            <w:vAlign w:val="center"/>
          </w:tcPr>
          <w:p>
            <w:pPr>
              <w:pStyle w:val="24"/>
            </w:pPr>
            <w:r>
              <w:t>≥95％</w:t>
            </w:r>
          </w:p>
        </w:tc>
        <w:tc>
          <w:tcPr>
            <w:tcW w:w="2268" w:type="dxa"/>
            <w:vAlign w:val="center"/>
          </w:tcPr>
          <w:p>
            <w:pPr>
              <w:pStyle w:val="2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4、廊财预【2022】65号三圣口乡提前下达省级村级组织运转经费-村干部基本工资绩效目标表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通过项目的开展完成三圣口乡村干部基本工资，及时发放村干部基本工资工作，实现保障对农村干部工作能力、工作表现的全面反映，为奖励与约束提供依据，促进农村干部努力工作，提高自身的工作能力和水平。</w:t>
            </w:r>
            <w:r>
              <w:tab/>
            </w:r>
            <w:r>
              <w:tab/>
            </w:r>
            <w:r>
              <w:tab/>
            </w:r>
            <w:r>
              <w:tab/>
            </w:r>
            <w:r>
              <w:tab/>
            </w:r>
            <w:r>
              <w:tab/>
            </w:r>
          </w:p>
          <w:p>
            <w:pPr>
              <w:pStyle w:val="24"/>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发放人数</w:t>
            </w:r>
          </w:p>
        </w:tc>
        <w:tc>
          <w:tcPr>
            <w:tcW w:w="2835" w:type="dxa"/>
            <w:vAlign w:val="center"/>
          </w:tcPr>
          <w:p>
            <w:pPr>
              <w:pStyle w:val="24"/>
            </w:pPr>
            <w:r>
              <w:t>发放人数</w:t>
            </w:r>
          </w:p>
        </w:tc>
        <w:tc>
          <w:tcPr>
            <w:tcW w:w="2551" w:type="dxa"/>
            <w:vAlign w:val="center"/>
          </w:tcPr>
          <w:p>
            <w:pPr>
              <w:pStyle w:val="24"/>
            </w:pPr>
            <w:r>
              <w:t>111人</w:t>
            </w:r>
          </w:p>
        </w:tc>
        <w:tc>
          <w:tcPr>
            <w:tcW w:w="2268" w:type="dxa"/>
            <w:vAlign w:val="center"/>
          </w:tcPr>
          <w:p>
            <w:pPr>
              <w:pStyle w:val="2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工资发放合格率</w:t>
            </w:r>
          </w:p>
        </w:tc>
        <w:tc>
          <w:tcPr>
            <w:tcW w:w="2835" w:type="dxa"/>
            <w:vAlign w:val="center"/>
          </w:tcPr>
          <w:p>
            <w:pPr>
              <w:pStyle w:val="24"/>
            </w:pPr>
            <w:r>
              <w:t>合格发放补助数量/总数量</w:t>
            </w:r>
          </w:p>
        </w:tc>
        <w:tc>
          <w:tcPr>
            <w:tcW w:w="2551" w:type="dxa"/>
            <w:vAlign w:val="center"/>
          </w:tcPr>
          <w:p>
            <w:pPr>
              <w:pStyle w:val="24"/>
            </w:pPr>
            <w:r>
              <w:t>100%</w:t>
            </w:r>
          </w:p>
        </w:tc>
        <w:tc>
          <w:tcPr>
            <w:tcW w:w="2268" w:type="dxa"/>
            <w:vAlign w:val="center"/>
          </w:tcPr>
          <w:p>
            <w:pPr>
              <w:pStyle w:val="2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工资发放及时率</w:t>
            </w:r>
          </w:p>
        </w:tc>
        <w:tc>
          <w:tcPr>
            <w:tcW w:w="2835" w:type="dxa"/>
            <w:vAlign w:val="center"/>
          </w:tcPr>
          <w:p>
            <w:pPr>
              <w:pStyle w:val="24"/>
            </w:pPr>
            <w:r>
              <w:t>按月发放数/总数</w:t>
            </w:r>
          </w:p>
        </w:tc>
        <w:tc>
          <w:tcPr>
            <w:tcW w:w="2551" w:type="dxa"/>
            <w:vAlign w:val="center"/>
          </w:tcPr>
          <w:p>
            <w:pPr>
              <w:pStyle w:val="24"/>
            </w:pPr>
            <w:r>
              <w:t>100%</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工资所需成本</w:t>
            </w:r>
          </w:p>
        </w:tc>
        <w:tc>
          <w:tcPr>
            <w:tcW w:w="2835" w:type="dxa"/>
            <w:vAlign w:val="center"/>
          </w:tcPr>
          <w:p>
            <w:pPr>
              <w:pStyle w:val="24"/>
            </w:pPr>
            <w:r>
              <w:t>工资所需成本</w:t>
            </w:r>
          </w:p>
        </w:tc>
        <w:tc>
          <w:tcPr>
            <w:tcW w:w="2551" w:type="dxa"/>
            <w:vAlign w:val="center"/>
          </w:tcPr>
          <w:p>
            <w:pPr>
              <w:pStyle w:val="24"/>
            </w:pPr>
            <w:r>
              <w:t>≤194.37万元</w:t>
            </w:r>
          </w:p>
        </w:tc>
        <w:tc>
          <w:tcPr>
            <w:tcW w:w="2268" w:type="dxa"/>
            <w:vAlign w:val="center"/>
          </w:tcPr>
          <w:p>
            <w:pPr>
              <w:pStyle w:val="2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补助人群生活改善情况</w:t>
            </w:r>
          </w:p>
        </w:tc>
        <w:tc>
          <w:tcPr>
            <w:tcW w:w="2835" w:type="dxa"/>
            <w:vAlign w:val="center"/>
          </w:tcPr>
          <w:p>
            <w:pPr>
              <w:pStyle w:val="24"/>
            </w:pPr>
            <w:r>
              <w:t>补助人群在生活、医疗、护理方敏的改善情况</w:t>
            </w:r>
          </w:p>
        </w:tc>
        <w:tc>
          <w:tcPr>
            <w:tcW w:w="2551" w:type="dxa"/>
            <w:vAlign w:val="center"/>
          </w:tcPr>
          <w:p>
            <w:pPr>
              <w:pStyle w:val="24"/>
            </w:pPr>
            <w:r>
              <w:t>改善</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可持续影响指标</w:t>
            </w:r>
          </w:p>
        </w:tc>
        <w:tc>
          <w:tcPr>
            <w:tcW w:w="2835" w:type="dxa"/>
            <w:vAlign w:val="center"/>
          </w:tcPr>
          <w:p>
            <w:pPr>
              <w:pStyle w:val="24"/>
            </w:pPr>
            <w:r>
              <w:t>制度及实施方案健全程度</w:t>
            </w:r>
          </w:p>
        </w:tc>
        <w:tc>
          <w:tcPr>
            <w:tcW w:w="2835" w:type="dxa"/>
            <w:vAlign w:val="center"/>
          </w:tcPr>
          <w:p>
            <w:pPr>
              <w:pStyle w:val="24"/>
            </w:pPr>
            <w:r>
              <w:t>制度及实施方案健全程度</w:t>
            </w:r>
          </w:p>
        </w:tc>
        <w:tc>
          <w:tcPr>
            <w:tcW w:w="2551" w:type="dxa"/>
            <w:vAlign w:val="center"/>
          </w:tcPr>
          <w:p>
            <w:pPr>
              <w:pStyle w:val="24"/>
            </w:pPr>
            <w:r>
              <w:t>健全</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村干部满意度</w:t>
            </w:r>
          </w:p>
        </w:tc>
        <w:tc>
          <w:tcPr>
            <w:tcW w:w="2835" w:type="dxa"/>
            <w:vAlign w:val="center"/>
          </w:tcPr>
          <w:p>
            <w:pPr>
              <w:pStyle w:val="24"/>
            </w:pPr>
            <w:r>
              <w:t>通过问卷调查，满意和较满意人数占总调查人数的比率</w:t>
            </w:r>
          </w:p>
        </w:tc>
        <w:tc>
          <w:tcPr>
            <w:tcW w:w="2551" w:type="dxa"/>
            <w:vAlign w:val="center"/>
          </w:tcPr>
          <w:p>
            <w:pPr>
              <w:pStyle w:val="24"/>
            </w:pPr>
            <w:r>
              <w:t>≥90％</w:t>
            </w:r>
          </w:p>
        </w:tc>
        <w:tc>
          <w:tcPr>
            <w:tcW w:w="2268" w:type="dxa"/>
            <w:vAlign w:val="center"/>
          </w:tcPr>
          <w:p>
            <w:pPr>
              <w:pStyle w:val="2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5、廊财预【2022】65号三圣口乡提前下达省级村级组织运转经费-村干部绩效工资绩效目标表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通过项目的开展完成三圣口乡村干部绩效工资，及时发放村干部绩效工资工作，实现保障对农村干部工作能力、工作表现的全面反映，为奖励与约束提供依据，促进农村干部努力工作，提高自身的工作能力和水平。</w:t>
            </w:r>
            <w:r>
              <w:tab/>
            </w:r>
            <w:r>
              <w:tab/>
            </w:r>
            <w:r>
              <w:tab/>
            </w:r>
            <w:r>
              <w:tab/>
            </w:r>
            <w:r>
              <w:tab/>
            </w:r>
            <w:r>
              <w:t>"</w:t>
            </w:r>
            <w:r>
              <w:tab/>
            </w:r>
            <w:r>
              <w:tab/>
            </w:r>
            <w:r>
              <w:tab/>
            </w:r>
            <w:r>
              <w:tab/>
            </w:r>
            <w:r>
              <w:tab/>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发放人数</w:t>
            </w:r>
          </w:p>
        </w:tc>
        <w:tc>
          <w:tcPr>
            <w:tcW w:w="2835" w:type="dxa"/>
            <w:vAlign w:val="center"/>
          </w:tcPr>
          <w:p>
            <w:pPr>
              <w:pStyle w:val="24"/>
            </w:pPr>
            <w:r>
              <w:t>发放人数</w:t>
            </w:r>
          </w:p>
        </w:tc>
        <w:tc>
          <w:tcPr>
            <w:tcW w:w="2551" w:type="dxa"/>
            <w:vAlign w:val="center"/>
          </w:tcPr>
          <w:p>
            <w:pPr>
              <w:pStyle w:val="24"/>
            </w:pPr>
            <w:r>
              <w:t>111人</w:t>
            </w:r>
          </w:p>
        </w:tc>
        <w:tc>
          <w:tcPr>
            <w:tcW w:w="2268" w:type="dxa"/>
            <w:vAlign w:val="center"/>
          </w:tcPr>
          <w:p>
            <w:pPr>
              <w:pStyle w:val="2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工资发放合格率</w:t>
            </w:r>
          </w:p>
        </w:tc>
        <w:tc>
          <w:tcPr>
            <w:tcW w:w="2835" w:type="dxa"/>
            <w:vAlign w:val="center"/>
          </w:tcPr>
          <w:p>
            <w:pPr>
              <w:pStyle w:val="24"/>
            </w:pPr>
            <w:r>
              <w:t>工资发放合格率</w:t>
            </w:r>
          </w:p>
        </w:tc>
        <w:tc>
          <w:tcPr>
            <w:tcW w:w="2551" w:type="dxa"/>
            <w:vAlign w:val="center"/>
          </w:tcPr>
          <w:p>
            <w:pPr>
              <w:pStyle w:val="24"/>
            </w:pPr>
            <w:r>
              <w:t>100%</w:t>
            </w:r>
          </w:p>
        </w:tc>
        <w:tc>
          <w:tcPr>
            <w:tcW w:w="2268" w:type="dxa"/>
            <w:vAlign w:val="center"/>
          </w:tcPr>
          <w:p>
            <w:pPr>
              <w:pStyle w:val="2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工资发放及时率</w:t>
            </w:r>
          </w:p>
        </w:tc>
        <w:tc>
          <w:tcPr>
            <w:tcW w:w="2835" w:type="dxa"/>
            <w:vAlign w:val="center"/>
          </w:tcPr>
          <w:p>
            <w:pPr>
              <w:pStyle w:val="24"/>
            </w:pPr>
            <w:r>
              <w:t>工资发放及时率</w:t>
            </w:r>
          </w:p>
        </w:tc>
        <w:tc>
          <w:tcPr>
            <w:tcW w:w="2551" w:type="dxa"/>
            <w:vAlign w:val="center"/>
          </w:tcPr>
          <w:p>
            <w:pPr>
              <w:pStyle w:val="24"/>
            </w:pPr>
            <w:r>
              <w:t>100%</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工资所需成本</w:t>
            </w:r>
          </w:p>
        </w:tc>
        <w:tc>
          <w:tcPr>
            <w:tcW w:w="2835" w:type="dxa"/>
            <w:vAlign w:val="center"/>
          </w:tcPr>
          <w:p>
            <w:pPr>
              <w:pStyle w:val="24"/>
            </w:pPr>
            <w:r>
              <w:t>工资所需成本</w:t>
            </w:r>
          </w:p>
        </w:tc>
        <w:tc>
          <w:tcPr>
            <w:tcW w:w="2551" w:type="dxa"/>
            <w:vAlign w:val="center"/>
          </w:tcPr>
          <w:p>
            <w:pPr>
              <w:pStyle w:val="24"/>
            </w:pPr>
            <w:r>
              <w:t>≤503595元</w:t>
            </w:r>
          </w:p>
        </w:tc>
        <w:tc>
          <w:tcPr>
            <w:tcW w:w="2268" w:type="dxa"/>
            <w:vAlign w:val="center"/>
          </w:tcPr>
          <w:p>
            <w:pPr>
              <w:pStyle w:val="2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补助人群生活改善情况</w:t>
            </w:r>
          </w:p>
        </w:tc>
        <w:tc>
          <w:tcPr>
            <w:tcW w:w="2835" w:type="dxa"/>
            <w:vAlign w:val="center"/>
          </w:tcPr>
          <w:p>
            <w:pPr>
              <w:pStyle w:val="24"/>
            </w:pPr>
            <w:r>
              <w:t>补助人群在生活、医疗、护理方敏的改善情况</w:t>
            </w:r>
          </w:p>
        </w:tc>
        <w:tc>
          <w:tcPr>
            <w:tcW w:w="2551" w:type="dxa"/>
            <w:vAlign w:val="center"/>
          </w:tcPr>
          <w:p>
            <w:pPr>
              <w:pStyle w:val="24"/>
            </w:pPr>
            <w:r>
              <w:t>改善</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可持续影响指标</w:t>
            </w:r>
          </w:p>
        </w:tc>
        <w:tc>
          <w:tcPr>
            <w:tcW w:w="2835" w:type="dxa"/>
            <w:vAlign w:val="center"/>
          </w:tcPr>
          <w:p>
            <w:pPr>
              <w:pStyle w:val="24"/>
            </w:pPr>
            <w:r>
              <w:t>制度及实施方案健全程度</w:t>
            </w:r>
          </w:p>
        </w:tc>
        <w:tc>
          <w:tcPr>
            <w:tcW w:w="2835" w:type="dxa"/>
            <w:vAlign w:val="center"/>
          </w:tcPr>
          <w:p>
            <w:pPr>
              <w:pStyle w:val="24"/>
            </w:pPr>
            <w:r>
              <w:t>制度及实施方案健全程度</w:t>
            </w:r>
          </w:p>
        </w:tc>
        <w:tc>
          <w:tcPr>
            <w:tcW w:w="2551" w:type="dxa"/>
            <w:vAlign w:val="center"/>
          </w:tcPr>
          <w:p>
            <w:pPr>
              <w:pStyle w:val="24"/>
            </w:pPr>
            <w:r>
              <w:t>健全</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村干部满意度</w:t>
            </w:r>
          </w:p>
        </w:tc>
        <w:tc>
          <w:tcPr>
            <w:tcW w:w="2835" w:type="dxa"/>
            <w:vAlign w:val="center"/>
          </w:tcPr>
          <w:p>
            <w:pPr>
              <w:pStyle w:val="24"/>
            </w:pPr>
            <w:r>
              <w:t>通过问卷调查，满意和较满意人数占总调查人数的比率</w:t>
            </w:r>
          </w:p>
        </w:tc>
        <w:tc>
          <w:tcPr>
            <w:tcW w:w="2551" w:type="dxa"/>
            <w:vAlign w:val="center"/>
          </w:tcPr>
          <w:p>
            <w:pPr>
              <w:pStyle w:val="24"/>
            </w:pPr>
            <w:r>
              <w:t>≥90％</w:t>
            </w:r>
          </w:p>
        </w:tc>
        <w:tc>
          <w:tcPr>
            <w:tcW w:w="2268" w:type="dxa"/>
            <w:vAlign w:val="center"/>
          </w:tcPr>
          <w:p>
            <w:pPr>
              <w:pStyle w:val="2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6、三圣口乡村干部基本工资绩效目标表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通过项目的开展完成三圣口乡村干部基本工资，及时发放村干部基本工资工作，实现保障对农村干部工作能力、工作表现的全面反映，为奖励与约束提供依据，促进农村干部努力工作，提高自身的工作能力和水平。</w:t>
            </w:r>
            <w:r>
              <w:tab/>
            </w:r>
            <w:r>
              <w:tab/>
            </w:r>
            <w:r>
              <w:tab/>
            </w:r>
            <w:r>
              <w:tab/>
            </w:r>
            <w:r>
              <w:tab/>
            </w:r>
            <w:r>
              <w:tab/>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发放人数</w:t>
            </w:r>
          </w:p>
        </w:tc>
        <w:tc>
          <w:tcPr>
            <w:tcW w:w="2835" w:type="dxa"/>
            <w:vAlign w:val="center"/>
          </w:tcPr>
          <w:p>
            <w:pPr>
              <w:pStyle w:val="24"/>
            </w:pPr>
            <w:r>
              <w:t>发放人数</w:t>
            </w:r>
          </w:p>
        </w:tc>
        <w:tc>
          <w:tcPr>
            <w:tcW w:w="2551" w:type="dxa"/>
            <w:vAlign w:val="center"/>
          </w:tcPr>
          <w:p>
            <w:pPr>
              <w:pStyle w:val="24"/>
            </w:pPr>
            <w:r>
              <w:t>111人</w:t>
            </w:r>
          </w:p>
        </w:tc>
        <w:tc>
          <w:tcPr>
            <w:tcW w:w="2268" w:type="dxa"/>
            <w:vAlign w:val="center"/>
          </w:tcPr>
          <w:p>
            <w:pPr>
              <w:pStyle w:val="2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工资发放合格率</w:t>
            </w:r>
          </w:p>
        </w:tc>
        <w:tc>
          <w:tcPr>
            <w:tcW w:w="2835" w:type="dxa"/>
            <w:vAlign w:val="center"/>
          </w:tcPr>
          <w:p>
            <w:pPr>
              <w:pStyle w:val="24"/>
            </w:pPr>
            <w:r>
              <w:t>合格发放补助数量/总数量</w:t>
            </w:r>
          </w:p>
        </w:tc>
        <w:tc>
          <w:tcPr>
            <w:tcW w:w="2551" w:type="dxa"/>
            <w:vAlign w:val="center"/>
          </w:tcPr>
          <w:p>
            <w:pPr>
              <w:pStyle w:val="24"/>
            </w:pPr>
            <w:r>
              <w:t>100%</w:t>
            </w:r>
          </w:p>
        </w:tc>
        <w:tc>
          <w:tcPr>
            <w:tcW w:w="2268" w:type="dxa"/>
            <w:vAlign w:val="center"/>
          </w:tcPr>
          <w:p>
            <w:pPr>
              <w:pStyle w:val="2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工资发放及时率</w:t>
            </w:r>
          </w:p>
        </w:tc>
        <w:tc>
          <w:tcPr>
            <w:tcW w:w="2835" w:type="dxa"/>
            <w:vAlign w:val="center"/>
          </w:tcPr>
          <w:p>
            <w:pPr>
              <w:pStyle w:val="24"/>
            </w:pPr>
            <w:r>
              <w:t>按月发放数/总数</w:t>
            </w:r>
          </w:p>
        </w:tc>
        <w:tc>
          <w:tcPr>
            <w:tcW w:w="2551" w:type="dxa"/>
            <w:vAlign w:val="center"/>
          </w:tcPr>
          <w:p>
            <w:pPr>
              <w:pStyle w:val="24"/>
            </w:pPr>
            <w:r>
              <w:t>100%</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工资所需成本</w:t>
            </w:r>
          </w:p>
        </w:tc>
        <w:tc>
          <w:tcPr>
            <w:tcW w:w="2835" w:type="dxa"/>
            <w:vAlign w:val="center"/>
          </w:tcPr>
          <w:p>
            <w:pPr>
              <w:pStyle w:val="24"/>
            </w:pPr>
            <w:r>
              <w:t>工资所需成本</w:t>
            </w:r>
          </w:p>
        </w:tc>
        <w:tc>
          <w:tcPr>
            <w:tcW w:w="2551" w:type="dxa"/>
            <w:vAlign w:val="center"/>
          </w:tcPr>
          <w:p>
            <w:pPr>
              <w:pStyle w:val="24"/>
            </w:pPr>
            <w:r>
              <w:t>≤35.63万元</w:t>
            </w:r>
          </w:p>
        </w:tc>
        <w:tc>
          <w:tcPr>
            <w:tcW w:w="2268" w:type="dxa"/>
            <w:vAlign w:val="center"/>
          </w:tcPr>
          <w:p>
            <w:pPr>
              <w:pStyle w:val="2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补助人群生活改善情况</w:t>
            </w:r>
          </w:p>
        </w:tc>
        <w:tc>
          <w:tcPr>
            <w:tcW w:w="2835" w:type="dxa"/>
            <w:vAlign w:val="center"/>
          </w:tcPr>
          <w:p>
            <w:pPr>
              <w:pStyle w:val="24"/>
            </w:pPr>
            <w:r>
              <w:t>补助人群在生活、医疗、护理方敏的改善情况</w:t>
            </w:r>
          </w:p>
        </w:tc>
        <w:tc>
          <w:tcPr>
            <w:tcW w:w="2551" w:type="dxa"/>
            <w:vAlign w:val="center"/>
          </w:tcPr>
          <w:p>
            <w:pPr>
              <w:pStyle w:val="24"/>
            </w:pPr>
            <w:r>
              <w:t>改善</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可持续影响指标</w:t>
            </w:r>
          </w:p>
        </w:tc>
        <w:tc>
          <w:tcPr>
            <w:tcW w:w="2835" w:type="dxa"/>
            <w:vAlign w:val="center"/>
          </w:tcPr>
          <w:p>
            <w:pPr>
              <w:pStyle w:val="24"/>
            </w:pPr>
            <w:r>
              <w:t>制度及实施方案健全程度</w:t>
            </w:r>
          </w:p>
        </w:tc>
        <w:tc>
          <w:tcPr>
            <w:tcW w:w="2835" w:type="dxa"/>
            <w:vAlign w:val="center"/>
          </w:tcPr>
          <w:p>
            <w:pPr>
              <w:pStyle w:val="24"/>
            </w:pPr>
            <w:r>
              <w:t>制度及实施方案健全程度</w:t>
            </w:r>
          </w:p>
        </w:tc>
        <w:tc>
          <w:tcPr>
            <w:tcW w:w="2551" w:type="dxa"/>
            <w:vAlign w:val="center"/>
          </w:tcPr>
          <w:p>
            <w:pPr>
              <w:pStyle w:val="24"/>
            </w:pPr>
            <w:r>
              <w:t>健全</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村干部满意度</w:t>
            </w:r>
          </w:p>
        </w:tc>
        <w:tc>
          <w:tcPr>
            <w:tcW w:w="2835" w:type="dxa"/>
            <w:vAlign w:val="center"/>
          </w:tcPr>
          <w:p>
            <w:pPr>
              <w:pStyle w:val="24"/>
            </w:pPr>
            <w:r>
              <w:t>通过问卷调查，满意和较满意人数占总调查人数的比率</w:t>
            </w:r>
          </w:p>
        </w:tc>
        <w:tc>
          <w:tcPr>
            <w:tcW w:w="2551" w:type="dxa"/>
            <w:vAlign w:val="center"/>
          </w:tcPr>
          <w:p>
            <w:pPr>
              <w:pStyle w:val="24"/>
            </w:pPr>
            <w:r>
              <w:t>≥90％</w:t>
            </w:r>
          </w:p>
        </w:tc>
        <w:tc>
          <w:tcPr>
            <w:tcW w:w="2268" w:type="dxa"/>
            <w:vAlign w:val="center"/>
          </w:tcPr>
          <w:p>
            <w:pPr>
              <w:pStyle w:val="2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7、三圣口乡村干部绩效工资绩效目标表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通过项目的开展完成三圣口乡村干部绩效工资，及时发放村干部绩效工资工作，实现保障对农村干部工作能力、工作表现的全面反映，为奖励与约束提供依据，促进农村干部努力工作，提高自身的工作能力和水平。</w:t>
            </w:r>
            <w:r>
              <w:tab/>
            </w:r>
            <w:r>
              <w:tab/>
            </w:r>
            <w:r>
              <w:tab/>
            </w:r>
            <w:r>
              <w:tab/>
            </w:r>
            <w:r>
              <w:tab/>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发放人数</w:t>
            </w:r>
          </w:p>
        </w:tc>
        <w:tc>
          <w:tcPr>
            <w:tcW w:w="2835" w:type="dxa"/>
            <w:vAlign w:val="center"/>
          </w:tcPr>
          <w:p>
            <w:pPr>
              <w:pStyle w:val="24"/>
            </w:pPr>
            <w:r>
              <w:t>发放人数</w:t>
            </w:r>
          </w:p>
        </w:tc>
        <w:tc>
          <w:tcPr>
            <w:tcW w:w="2551" w:type="dxa"/>
            <w:vAlign w:val="center"/>
          </w:tcPr>
          <w:p>
            <w:pPr>
              <w:pStyle w:val="24"/>
            </w:pPr>
            <w:r>
              <w:t>111人</w:t>
            </w:r>
          </w:p>
        </w:tc>
        <w:tc>
          <w:tcPr>
            <w:tcW w:w="2268" w:type="dxa"/>
            <w:vAlign w:val="center"/>
          </w:tcPr>
          <w:p>
            <w:pPr>
              <w:pStyle w:val="2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工资发放合格率</w:t>
            </w:r>
          </w:p>
        </w:tc>
        <w:tc>
          <w:tcPr>
            <w:tcW w:w="2835" w:type="dxa"/>
            <w:vAlign w:val="center"/>
          </w:tcPr>
          <w:p>
            <w:pPr>
              <w:pStyle w:val="24"/>
            </w:pPr>
            <w:r>
              <w:t>工资发放合格率</w:t>
            </w:r>
          </w:p>
        </w:tc>
        <w:tc>
          <w:tcPr>
            <w:tcW w:w="2551" w:type="dxa"/>
            <w:vAlign w:val="center"/>
          </w:tcPr>
          <w:p>
            <w:pPr>
              <w:pStyle w:val="24"/>
            </w:pPr>
            <w:r>
              <w:t>100%</w:t>
            </w:r>
          </w:p>
        </w:tc>
        <w:tc>
          <w:tcPr>
            <w:tcW w:w="2268" w:type="dxa"/>
            <w:vAlign w:val="center"/>
          </w:tcPr>
          <w:p>
            <w:pPr>
              <w:pStyle w:val="2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工资发放及时率</w:t>
            </w:r>
          </w:p>
        </w:tc>
        <w:tc>
          <w:tcPr>
            <w:tcW w:w="2835" w:type="dxa"/>
            <w:vAlign w:val="center"/>
          </w:tcPr>
          <w:p>
            <w:pPr>
              <w:pStyle w:val="24"/>
            </w:pPr>
            <w:r>
              <w:t>工资发放及时率</w:t>
            </w:r>
          </w:p>
        </w:tc>
        <w:tc>
          <w:tcPr>
            <w:tcW w:w="2551" w:type="dxa"/>
            <w:vAlign w:val="center"/>
          </w:tcPr>
          <w:p>
            <w:pPr>
              <w:pStyle w:val="24"/>
            </w:pPr>
            <w:r>
              <w:t>100%</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工资所需成本</w:t>
            </w:r>
          </w:p>
        </w:tc>
        <w:tc>
          <w:tcPr>
            <w:tcW w:w="2835" w:type="dxa"/>
            <w:vAlign w:val="center"/>
          </w:tcPr>
          <w:p>
            <w:pPr>
              <w:pStyle w:val="24"/>
            </w:pPr>
            <w:r>
              <w:t>工资所需成本</w:t>
            </w:r>
          </w:p>
        </w:tc>
        <w:tc>
          <w:tcPr>
            <w:tcW w:w="2551" w:type="dxa"/>
            <w:vAlign w:val="center"/>
          </w:tcPr>
          <w:p>
            <w:pPr>
              <w:pStyle w:val="24"/>
            </w:pPr>
            <w:r>
              <w:t>≤1481705元</w:t>
            </w:r>
          </w:p>
        </w:tc>
        <w:tc>
          <w:tcPr>
            <w:tcW w:w="2268" w:type="dxa"/>
            <w:vAlign w:val="center"/>
          </w:tcPr>
          <w:p>
            <w:pPr>
              <w:pStyle w:val="2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补助人群生活改善情况</w:t>
            </w:r>
          </w:p>
        </w:tc>
        <w:tc>
          <w:tcPr>
            <w:tcW w:w="2835" w:type="dxa"/>
            <w:vAlign w:val="center"/>
          </w:tcPr>
          <w:p>
            <w:pPr>
              <w:pStyle w:val="24"/>
            </w:pPr>
            <w:r>
              <w:t>补助人群在生活、医疗、护理方敏的改善情况</w:t>
            </w:r>
          </w:p>
        </w:tc>
        <w:tc>
          <w:tcPr>
            <w:tcW w:w="2551" w:type="dxa"/>
            <w:vAlign w:val="center"/>
          </w:tcPr>
          <w:p>
            <w:pPr>
              <w:pStyle w:val="24"/>
            </w:pPr>
            <w:r>
              <w:t>改善</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可持续影响指标</w:t>
            </w:r>
          </w:p>
        </w:tc>
        <w:tc>
          <w:tcPr>
            <w:tcW w:w="2835" w:type="dxa"/>
            <w:vAlign w:val="center"/>
          </w:tcPr>
          <w:p>
            <w:pPr>
              <w:pStyle w:val="24"/>
            </w:pPr>
            <w:r>
              <w:t>制度及实施方案健全程度</w:t>
            </w:r>
          </w:p>
        </w:tc>
        <w:tc>
          <w:tcPr>
            <w:tcW w:w="2835" w:type="dxa"/>
            <w:vAlign w:val="center"/>
          </w:tcPr>
          <w:p>
            <w:pPr>
              <w:pStyle w:val="24"/>
            </w:pPr>
            <w:r>
              <w:t>制度及实施方案健全程度</w:t>
            </w:r>
          </w:p>
        </w:tc>
        <w:tc>
          <w:tcPr>
            <w:tcW w:w="2551" w:type="dxa"/>
            <w:vAlign w:val="center"/>
          </w:tcPr>
          <w:p>
            <w:pPr>
              <w:pStyle w:val="24"/>
            </w:pPr>
            <w:r>
              <w:t>健全</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村干部满意度</w:t>
            </w:r>
          </w:p>
        </w:tc>
        <w:tc>
          <w:tcPr>
            <w:tcW w:w="2835" w:type="dxa"/>
            <w:vAlign w:val="center"/>
          </w:tcPr>
          <w:p>
            <w:pPr>
              <w:pStyle w:val="24"/>
            </w:pPr>
            <w:r>
              <w:t>通过问卷调查，满意和较满意人数占总调查人数的比率</w:t>
            </w:r>
          </w:p>
        </w:tc>
        <w:tc>
          <w:tcPr>
            <w:tcW w:w="2551" w:type="dxa"/>
            <w:vAlign w:val="center"/>
          </w:tcPr>
          <w:p>
            <w:pPr>
              <w:pStyle w:val="24"/>
            </w:pPr>
            <w:r>
              <w:t>≥90％</w:t>
            </w:r>
          </w:p>
        </w:tc>
        <w:tc>
          <w:tcPr>
            <w:tcW w:w="2268" w:type="dxa"/>
            <w:vAlign w:val="center"/>
          </w:tcPr>
          <w:p>
            <w:pPr>
              <w:pStyle w:val="2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8、三圣口乡村干部离任补贴绩效目标表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1.三圣口乡村干部离任补贴，用于发放离任村干部补贴，提高离任村干部收入。</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涉及村街</w:t>
            </w:r>
          </w:p>
        </w:tc>
        <w:tc>
          <w:tcPr>
            <w:tcW w:w="2835" w:type="dxa"/>
            <w:vAlign w:val="center"/>
          </w:tcPr>
          <w:p>
            <w:pPr>
              <w:pStyle w:val="24"/>
            </w:pPr>
            <w:r>
              <w:t>涉及村街</w:t>
            </w:r>
          </w:p>
        </w:tc>
        <w:tc>
          <w:tcPr>
            <w:tcW w:w="2551" w:type="dxa"/>
            <w:vAlign w:val="center"/>
          </w:tcPr>
          <w:p>
            <w:pPr>
              <w:pStyle w:val="24"/>
            </w:pPr>
            <w:r>
              <w:t>31个</w:t>
            </w:r>
          </w:p>
        </w:tc>
        <w:tc>
          <w:tcPr>
            <w:tcW w:w="2268" w:type="dxa"/>
            <w:vAlign w:val="center"/>
          </w:tcPr>
          <w:p>
            <w:pPr>
              <w:pStyle w:val="2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工资发放合格率</w:t>
            </w:r>
          </w:p>
        </w:tc>
        <w:tc>
          <w:tcPr>
            <w:tcW w:w="2835" w:type="dxa"/>
            <w:vAlign w:val="center"/>
          </w:tcPr>
          <w:p>
            <w:pPr>
              <w:pStyle w:val="24"/>
            </w:pPr>
            <w:r>
              <w:t>工资发放合格率</w:t>
            </w:r>
          </w:p>
        </w:tc>
        <w:tc>
          <w:tcPr>
            <w:tcW w:w="2551" w:type="dxa"/>
            <w:vAlign w:val="center"/>
          </w:tcPr>
          <w:p>
            <w:pPr>
              <w:pStyle w:val="24"/>
            </w:pPr>
            <w:r>
              <w:t>≥95%</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工资发放及时率</w:t>
            </w:r>
          </w:p>
        </w:tc>
        <w:tc>
          <w:tcPr>
            <w:tcW w:w="2835" w:type="dxa"/>
            <w:vAlign w:val="center"/>
          </w:tcPr>
          <w:p>
            <w:pPr>
              <w:pStyle w:val="24"/>
            </w:pPr>
            <w:r>
              <w:t>工资发放及时率</w:t>
            </w:r>
          </w:p>
        </w:tc>
        <w:tc>
          <w:tcPr>
            <w:tcW w:w="2551" w:type="dxa"/>
            <w:vAlign w:val="center"/>
          </w:tcPr>
          <w:p>
            <w:pPr>
              <w:pStyle w:val="24"/>
            </w:pPr>
            <w:r>
              <w:t>≥95%</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项目总成本控制</w:t>
            </w:r>
          </w:p>
        </w:tc>
        <w:tc>
          <w:tcPr>
            <w:tcW w:w="2835" w:type="dxa"/>
            <w:vAlign w:val="center"/>
          </w:tcPr>
          <w:p>
            <w:pPr>
              <w:pStyle w:val="24"/>
            </w:pPr>
            <w:r>
              <w:t>项目总成本控制</w:t>
            </w:r>
          </w:p>
        </w:tc>
        <w:tc>
          <w:tcPr>
            <w:tcW w:w="2551" w:type="dxa"/>
            <w:vAlign w:val="center"/>
          </w:tcPr>
          <w:p>
            <w:pPr>
              <w:pStyle w:val="24"/>
            </w:pPr>
            <w:r>
              <w:t>≤35万元</w:t>
            </w:r>
          </w:p>
        </w:tc>
        <w:tc>
          <w:tcPr>
            <w:tcW w:w="2268" w:type="dxa"/>
            <w:vAlign w:val="center"/>
          </w:tcPr>
          <w:p>
            <w:pPr>
              <w:pStyle w:val="2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经济效益指标</w:t>
            </w:r>
          </w:p>
        </w:tc>
        <w:tc>
          <w:tcPr>
            <w:tcW w:w="2835" w:type="dxa"/>
            <w:vAlign w:val="center"/>
          </w:tcPr>
          <w:p>
            <w:pPr>
              <w:pStyle w:val="24"/>
            </w:pPr>
            <w:r>
              <w:t>提高离任村干部收入情况</w:t>
            </w:r>
          </w:p>
        </w:tc>
        <w:tc>
          <w:tcPr>
            <w:tcW w:w="2835" w:type="dxa"/>
            <w:vAlign w:val="center"/>
          </w:tcPr>
          <w:p>
            <w:pPr>
              <w:pStyle w:val="24"/>
            </w:pPr>
            <w:r>
              <w:t>提高离任村干部收入情况</w:t>
            </w:r>
          </w:p>
        </w:tc>
        <w:tc>
          <w:tcPr>
            <w:tcW w:w="2551" w:type="dxa"/>
            <w:vAlign w:val="center"/>
          </w:tcPr>
          <w:p>
            <w:pPr>
              <w:pStyle w:val="24"/>
            </w:pPr>
            <w:r>
              <w:t>计划标准</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社会效益指标</w:t>
            </w:r>
          </w:p>
        </w:tc>
        <w:tc>
          <w:tcPr>
            <w:tcW w:w="2835" w:type="dxa"/>
            <w:vAlign w:val="center"/>
          </w:tcPr>
          <w:p>
            <w:pPr>
              <w:pStyle w:val="24"/>
            </w:pPr>
            <w:r>
              <w:t>促进提高村干部工作力</w:t>
            </w:r>
          </w:p>
        </w:tc>
        <w:tc>
          <w:tcPr>
            <w:tcW w:w="2835" w:type="dxa"/>
            <w:vAlign w:val="center"/>
          </w:tcPr>
          <w:p>
            <w:pPr>
              <w:pStyle w:val="24"/>
            </w:pPr>
            <w:r>
              <w:t>促进提高村干部工作能力情况</w:t>
            </w:r>
          </w:p>
        </w:tc>
        <w:tc>
          <w:tcPr>
            <w:tcW w:w="2551" w:type="dxa"/>
            <w:vAlign w:val="center"/>
          </w:tcPr>
          <w:p>
            <w:pPr>
              <w:pStyle w:val="24"/>
            </w:pPr>
            <w:r>
              <w:t>计划标准</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群众满意度</w:t>
            </w:r>
          </w:p>
        </w:tc>
        <w:tc>
          <w:tcPr>
            <w:tcW w:w="2835" w:type="dxa"/>
            <w:vAlign w:val="center"/>
          </w:tcPr>
          <w:p>
            <w:pPr>
              <w:pStyle w:val="24"/>
            </w:pPr>
            <w:r>
              <w:t>调查中满意度和比较满意的人数的比</w:t>
            </w:r>
          </w:p>
        </w:tc>
        <w:tc>
          <w:tcPr>
            <w:tcW w:w="2551" w:type="dxa"/>
            <w:vAlign w:val="center"/>
          </w:tcPr>
          <w:p>
            <w:pPr>
              <w:pStyle w:val="24"/>
            </w:pPr>
            <w:r>
              <w:t>≥95%</w:t>
            </w:r>
          </w:p>
        </w:tc>
        <w:tc>
          <w:tcPr>
            <w:tcW w:w="2268" w:type="dxa"/>
            <w:vAlign w:val="center"/>
          </w:tcPr>
          <w:p>
            <w:pPr>
              <w:pStyle w:val="24"/>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9、三圣口乡村级组织运转经费绩效目标表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通过项目的开展完成开展各类培训教、各类党务活动、慰问困难党员干部、档案整理、各类党政报刊征订、组织各类会议等工作，实现搞好服务，为域内党员职工开展党建活动和教育培训提供强有力的阵地保证，规范活动场所。</w:t>
            </w:r>
            <w:r>
              <w:tab/>
            </w:r>
            <w:r>
              <w:tab/>
            </w:r>
            <w:r>
              <w:tab/>
            </w:r>
            <w:r>
              <w:tab/>
            </w:r>
            <w:r>
              <w:tab/>
            </w:r>
            <w:r>
              <w:tab/>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开展村街个数</w:t>
            </w:r>
          </w:p>
        </w:tc>
        <w:tc>
          <w:tcPr>
            <w:tcW w:w="2835" w:type="dxa"/>
            <w:vAlign w:val="center"/>
          </w:tcPr>
          <w:p>
            <w:pPr>
              <w:pStyle w:val="24"/>
            </w:pPr>
            <w:r>
              <w:t>开展村街个数</w:t>
            </w:r>
          </w:p>
        </w:tc>
        <w:tc>
          <w:tcPr>
            <w:tcW w:w="2551" w:type="dxa"/>
            <w:vAlign w:val="center"/>
          </w:tcPr>
          <w:p>
            <w:pPr>
              <w:pStyle w:val="24"/>
            </w:pPr>
            <w:r>
              <w:t>31个</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村街工作完成合格率</w:t>
            </w:r>
          </w:p>
        </w:tc>
        <w:tc>
          <w:tcPr>
            <w:tcW w:w="2835" w:type="dxa"/>
            <w:vAlign w:val="center"/>
          </w:tcPr>
          <w:p>
            <w:pPr>
              <w:pStyle w:val="24"/>
            </w:pPr>
            <w:r>
              <w:t>合格完成数/计划数</w:t>
            </w:r>
          </w:p>
        </w:tc>
        <w:tc>
          <w:tcPr>
            <w:tcW w:w="2551" w:type="dxa"/>
            <w:vAlign w:val="center"/>
          </w:tcPr>
          <w:p>
            <w:pPr>
              <w:pStyle w:val="24"/>
            </w:pPr>
            <w:r>
              <w:t>100%</w:t>
            </w:r>
          </w:p>
        </w:tc>
        <w:tc>
          <w:tcPr>
            <w:tcW w:w="2268" w:type="dxa"/>
            <w:vAlign w:val="center"/>
          </w:tcPr>
          <w:p>
            <w:pPr>
              <w:pStyle w:val="24"/>
            </w:pPr>
            <w:r>
              <w:t>村街考核表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项目完全支出及时率</w:t>
            </w:r>
          </w:p>
        </w:tc>
        <w:tc>
          <w:tcPr>
            <w:tcW w:w="2835" w:type="dxa"/>
            <w:vAlign w:val="center"/>
          </w:tcPr>
          <w:p>
            <w:pPr>
              <w:pStyle w:val="24"/>
            </w:pPr>
            <w:r>
              <w:t>及时支付数/计划数</w:t>
            </w:r>
          </w:p>
        </w:tc>
        <w:tc>
          <w:tcPr>
            <w:tcW w:w="2551" w:type="dxa"/>
            <w:vAlign w:val="center"/>
          </w:tcPr>
          <w:p>
            <w:pPr>
              <w:pStyle w:val="24"/>
            </w:pPr>
            <w:r>
              <w:t>100%</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项目成本控制</w:t>
            </w:r>
          </w:p>
        </w:tc>
        <w:tc>
          <w:tcPr>
            <w:tcW w:w="2835" w:type="dxa"/>
            <w:vAlign w:val="center"/>
          </w:tcPr>
          <w:p>
            <w:pPr>
              <w:pStyle w:val="24"/>
            </w:pPr>
            <w:r>
              <w:t>小于年初预算数</w:t>
            </w:r>
          </w:p>
        </w:tc>
        <w:tc>
          <w:tcPr>
            <w:tcW w:w="2551" w:type="dxa"/>
            <w:vAlign w:val="center"/>
          </w:tcPr>
          <w:p>
            <w:pPr>
              <w:pStyle w:val="24"/>
            </w:pPr>
            <w:r>
              <w:t>≤85.25万元</w:t>
            </w:r>
          </w:p>
        </w:tc>
        <w:tc>
          <w:tcPr>
            <w:tcW w:w="2268" w:type="dxa"/>
            <w:vAlign w:val="center"/>
          </w:tcPr>
          <w:p>
            <w:pPr>
              <w:pStyle w:val="2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提升工作效率</w:t>
            </w:r>
          </w:p>
        </w:tc>
        <w:tc>
          <w:tcPr>
            <w:tcW w:w="2835" w:type="dxa"/>
            <w:vAlign w:val="center"/>
          </w:tcPr>
          <w:p>
            <w:pPr>
              <w:pStyle w:val="24"/>
            </w:pPr>
            <w:r>
              <w:t>提升工作效率</w:t>
            </w:r>
          </w:p>
        </w:tc>
        <w:tc>
          <w:tcPr>
            <w:tcW w:w="2551" w:type="dxa"/>
            <w:vAlign w:val="center"/>
          </w:tcPr>
          <w:p>
            <w:pPr>
              <w:pStyle w:val="24"/>
            </w:pPr>
            <w:r>
              <w:t>提升</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可持续影响指标</w:t>
            </w:r>
          </w:p>
        </w:tc>
        <w:tc>
          <w:tcPr>
            <w:tcW w:w="2835" w:type="dxa"/>
            <w:vAlign w:val="center"/>
          </w:tcPr>
          <w:p>
            <w:pPr>
              <w:pStyle w:val="24"/>
            </w:pPr>
            <w:r>
              <w:t>制度及实施方案健全程度</w:t>
            </w:r>
          </w:p>
        </w:tc>
        <w:tc>
          <w:tcPr>
            <w:tcW w:w="2835" w:type="dxa"/>
            <w:vAlign w:val="center"/>
          </w:tcPr>
          <w:p>
            <w:pPr>
              <w:pStyle w:val="24"/>
            </w:pPr>
            <w:r>
              <w:t>制度及实施方案健全程度</w:t>
            </w:r>
          </w:p>
        </w:tc>
        <w:tc>
          <w:tcPr>
            <w:tcW w:w="2551" w:type="dxa"/>
            <w:vAlign w:val="center"/>
          </w:tcPr>
          <w:p>
            <w:pPr>
              <w:pStyle w:val="24"/>
            </w:pPr>
            <w:r>
              <w:t>健全</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区内服务对象的满意度</w:t>
            </w:r>
          </w:p>
        </w:tc>
        <w:tc>
          <w:tcPr>
            <w:tcW w:w="2551" w:type="dxa"/>
            <w:vAlign w:val="center"/>
          </w:tcPr>
          <w:p>
            <w:pPr>
              <w:pStyle w:val="24"/>
            </w:pPr>
            <w:r>
              <w:t>≥95％</w:t>
            </w:r>
          </w:p>
        </w:tc>
        <w:tc>
          <w:tcPr>
            <w:tcW w:w="2268" w:type="dxa"/>
            <w:vAlign w:val="center"/>
          </w:tcPr>
          <w:p>
            <w:pPr>
              <w:pStyle w:val="2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10、三圣口乡气代煤协管员工资绩效目标表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1.本项目计划申请72000元，用于气代煤协管员工资的资金。</w:t>
            </w:r>
            <w:r>
              <w:tab/>
            </w:r>
            <w:r>
              <w:tab/>
            </w:r>
            <w:r>
              <w:tab/>
            </w:r>
            <w:r>
              <w:tab/>
            </w:r>
            <w:r>
              <w:tab/>
            </w:r>
            <w:r>
              <w:tab/>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协管员人数</w:t>
            </w:r>
          </w:p>
        </w:tc>
        <w:tc>
          <w:tcPr>
            <w:tcW w:w="2835" w:type="dxa"/>
            <w:vAlign w:val="center"/>
          </w:tcPr>
          <w:p>
            <w:pPr>
              <w:pStyle w:val="24"/>
            </w:pPr>
            <w:r>
              <w:t>涉及村街发放人数</w:t>
            </w:r>
          </w:p>
        </w:tc>
        <w:tc>
          <w:tcPr>
            <w:tcW w:w="2551" w:type="dxa"/>
            <w:vAlign w:val="center"/>
          </w:tcPr>
          <w:p>
            <w:pPr>
              <w:pStyle w:val="24"/>
            </w:pPr>
            <w:r>
              <w:t>6个</w:t>
            </w:r>
          </w:p>
        </w:tc>
        <w:tc>
          <w:tcPr>
            <w:tcW w:w="2268" w:type="dxa"/>
            <w:vAlign w:val="center"/>
          </w:tcPr>
          <w:p>
            <w:pPr>
              <w:pStyle w:val="2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补助发放合格率</w:t>
            </w:r>
          </w:p>
        </w:tc>
        <w:tc>
          <w:tcPr>
            <w:tcW w:w="2835" w:type="dxa"/>
            <w:vAlign w:val="center"/>
          </w:tcPr>
          <w:p>
            <w:pPr>
              <w:pStyle w:val="24"/>
            </w:pPr>
            <w:r>
              <w:t>发放合格人数/计划人数</w:t>
            </w:r>
          </w:p>
        </w:tc>
        <w:tc>
          <w:tcPr>
            <w:tcW w:w="2551" w:type="dxa"/>
            <w:vAlign w:val="center"/>
          </w:tcPr>
          <w:p>
            <w:pPr>
              <w:pStyle w:val="24"/>
            </w:pPr>
            <w:r>
              <w:t>100%</w:t>
            </w:r>
          </w:p>
        </w:tc>
        <w:tc>
          <w:tcPr>
            <w:tcW w:w="2268" w:type="dxa"/>
            <w:vAlign w:val="center"/>
          </w:tcPr>
          <w:p>
            <w:pPr>
              <w:pStyle w:val="2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补助金发放时间</w:t>
            </w:r>
          </w:p>
        </w:tc>
        <w:tc>
          <w:tcPr>
            <w:tcW w:w="2835" w:type="dxa"/>
            <w:vAlign w:val="center"/>
          </w:tcPr>
          <w:p>
            <w:pPr>
              <w:pStyle w:val="24"/>
            </w:pPr>
            <w:r>
              <w:t>补助金发放时间</w:t>
            </w:r>
          </w:p>
        </w:tc>
        <w:tc>
          <w:tcPr>
            <w:tcW w:w="2551" w:type="dxa"/>
            <w:vAlign w:val="center"/>
          </w:tcPr>
          <w:p>
            <w:pPr>
              <w:pStyle w:val="24"/>
            </w:pPr>
            <w:r>
              <w:t>3月</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月人均工资标准</w:t>
            </w:r>
          </w:p>
        </w:tc>
        <w:tc>
          <w:tcPr>
            <w:tcW w:w="2835" w:type="dxa"/>
            <w:vAlign w:val="center"/>
          </w:tcPr>
          <w:p>
            <w:pPr>
              <w:pStyle w:val="24"/>
            </w:pPr>
            <w:r>
              <w:t>按标准发放工资</w:t>
            </w:r>
          </w:p>
        </w:tc>
        <w:tc>
          <w:tcPr>
            <w:tcW w:w="2551" w:type="dxa"/>
            <w:vAlign w:val="center"/>
          </w:tcPr>
          <w:p>
            <w:pPr>
              <w:pStyle w:val="24"/>
            </w:pPr>
            <w:r>
              <w:t>2000按照规定标准控制</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补助人群生活改善情况</w:t>
            </w:r>
          </w:p>
        </w:tc>
        <w:tc>
          <w:tcPr>
            <w:tcW w:w="2835" w:type="dxa"/>
            <w:vAlign w:val="center"/>
          </w:tcPr>
          <w:p>
            <w:pPr>
              <w:pStyle w:val="24"/>
            </w:pPr>
            <w:r>
              <w:t>补助人群生活改善情况</w:t>
            </w:r>
          </w:p>
        </w:tc>
        <w:tc>
          <w:tcPr>
            <w:tcW w:w="2551" w:type="dxa"/>
            <w:vAlign w:val="center"/>
          </w:tcPr>
          <w:p>
            <w:pPr>
              <w:pStyle w:val="24"/>
            </w:pPr>
            <w:r>
              <w:t>改善</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可持续影响指标</w:t>
            </w:r>
          </w:p>
        </w:tc>
        <w:tc>
          <w:tcPr>
            <w:tcW w:w="2835" w:type="dxa"/>
            <w:vAlign w:val="center"/>
          </w:tcPr>
          <w:p>
            <w:pPr>
              <w:pStyle w:val="24"/>
            </w:pPr>
            <w:r>
              <w:t>制度及实施方案健全程度</w:t>
            </w:r>
          </w:p>
        </w:tc>
        <w:tc>
          <w:tcPr>
            <w:tcW w:w="2835" w:type="dxa"/>
            <w:vAlign w:val="center"/>
          </w:tcPr>
          <w:p>
            <w:pPr>
              <w:pStyle w:val="24"/>
            </w:pPr>
            <w:r>
              <w:t>制度及实施方案健全程度</w:t>
            </w:r>
          </w:p>
        </w:tc>
        <w:tc>
          <w:tcPr>
            <w:tcW w:w="2551" w:type="dxa"/>
            <w:vAlign w:val="center"/>
          </w:tcPr>
          <w:p>
            <w:pPr>
              <w:pStyle w:val="24"/>
            </w:pPr>
            <w:r>
              <w:t>健全</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受益群众满意度</w:t>
            </w:r>
          </w:p>
        </w:tc>
        <w:tc>
          <w:tcPr>
            <w:tcW w:w="2835" w:type="dxa"/>
            <w:vAlign w:val="center"/>
          </w:tcPr>
          <w:p>
            <w:pPr>
              <w:pStyle w:val="24"/>
            </w:pPr>
            <w:r>
              <w:t>受益群众满意度</w:t>
            </w:r>
          </w:p>
        </w:tc>
        <w:tc>
          <w:tcPr>
            <w:tcW w:w="2551" w:type="dxa"/>
            <w:vAlign w:val="center"/>
          </w:tcPr>
          <w:p>
            <w:pPr>
              <w:pStyle w:val="24"/>
            </w:pPr>
            <w:r>
              <w:t>≥95％</w:t>
            </w:r>
          </w:p>
        </w:tc>
        <w:tc>
          <w:tcPr>
            <w:tcW w:w="2268" w:type="dxa"/>
            <w:vAlign w:val="center"/>
          </w:tcPr>
          <w:p>
            <w:pPr>
              <w:pStyle w:val="2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11、三圣口乡三圣口村基础设施建设工程县级配套资金绩效目标表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1.用于解决三圣口村村民出行难的问题,完善我乡村道路基础设施建设，促进村街经济发展，改善区域环境，提升区域城乡化品味，保护区域资源，提升村民生活环境，提高村民满意度，保障村民出行安全问题。</w:t>
            </w:r>
            <w:r>
              <w:tab/>
            </w:r>
            <w:r>
              <w:tab/>
            </w:r>
            <w:r>
              <w:tab/>
            </w:r>
            <w:r>
              <w:tab/>
            </w:r>
            <w:r>
              <w:tab/>
            </w:r>
            <w:r>
              <w:tab/>
            </w:r>
          </w:p>
          <w:p>
            <w:pPr>
              <w:pStyle w:val="24"/>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新建改建公路数量</w:t>
            </w:r>
          </w:p>
        </w:tc>
        <w:tc>
          <w:tcPr>
            <w:tcW w:w="2835" w:type="dxa"/>
            <w:vAlign w:val="center"/>
          </w:tcPr>
          <w:p>
            <w:pPr>
              <w:pStyle w:val="24"/>
            </w:pPr>
            <w:r>
              <w:t>新建改建公路数量</w:t>
            </w:r>
          </w:p>
        </w:tc>
        <w:tc>
          <w:tcPr>
            <w:tcW w:w="2551" w:type="dxa"/>
            <w:vAlign w:val="center"/>
          </w:tcPr>
          <w:p>
            <w:pPr>
              <w:pStyle w:val="24"/>
            </w:pPr>
            <w:r>
              <w:t>≥18条</w:t>
            </w:r>
          </w:p>
        </w:tc>
        <w:tc>
          <w:tcPr>
            <w:tcW w:w="2268" w:type="dxa"/>
            <w:vAlign w:val="center"/>
          </w:tcPr>
          <w:p>
            <w:pPr>
              <w:pStyle w:val="24"/>
            </w:pPr>
            <w:r>
              <w:t>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资金成本</w:t>
            </w:r>
          </w:p>
        </w:tc>
        <w:tc>
          <w:tcPr>
            <w:tcW w:w="2835" w:type="dxa"/>
            <w:vAlign w:val="center"/>
          </w:tcPr>
          <w:p>
            <w:pPr>
              <w:pStyle w:val="24"/>
            </w:pPr>
            <w:r>
              <w:t>资金成本</w:t>
            </w:r>
          </w:p>
        </w:tc>
        <w:tc>
          <w:tcPr>
            <w:tcW w:w="2551" w:type="dxa"/>
            <w:vAlign w:val="center"/>
          </w:tcPr>
          <w:p>
            <w:pPr>
              <w:pStyle w:val="24"/>
            </w:pPr>
            <w:r>
              <w:t>≤117.72万元</w:t>
            </w:r>
          </w:p>
        </w:tc>
        <w:tc>
          <w:tcPr>
            <w:tcW w:w="2268" w:type="dxa"/>
            <w:vAlign w:val="center"/>
          </w:tcPr>
          <w:p>
            <w:pPr>
              <w:pStyle w:val="24"/>
            </w:pPr>
            <w:r>
              <w:t>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新建改建公路验收合格率</w:t>
            </w:r>
          </w:p>
        </w:tc>
        <w:tc>
          <w:tcPr>
            <w:tcW w:w="2835" w:type="dxa"/>
            <w:vAlign w:val="center"/>
          </w:tcPr>
          <w:p>
            <w:pPr>
              <w:pStyle w:val="24"/>
            </w:pPr>
            <w:r>
              <w:t>新建改建公路验收合格率</w:t>
            </w:r>
          </w:p>
        </w:tc>
        <w:tc>
          <w:tcPr>
            <w:tcW w:w="2551" w:type="dxa"/>
            <w:vAlign w:val="center"/>
          </w:tcPr>
          <w:p>
            <w:pPr>
              <w:pStyle w:val="24"/>
            </w:pPr>
            <w:r>
              <w:t>100%</w:t>
            </w:r>
          </w:p>
        </w:tc>
        <w:tc>
          <w:tcPr>
            <w:tcW w:w="2268" w:type="dxa"/>
            <w:vAlign w:val="center"/>
          </w:tcPr>
          <w:p>
            <w:pPr>
              <w:pStyle w:val="24"/>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新建改建公路完成及时率</w:t>
            </w:r>
          </w:p>
        </w:tc>
        <w:tc>
          <w:tcPr>
            <w:tcW w:w="2835" w:type="dxa"/>
            <w:vAlign w:val="center"/>
          </w:tcPr>
          <w:p>
            <w:pPr>
              <w:pStyle w:val="24"/>
            </w:pPr>
            <w:r>
              <w:t>新建改建公路完成及时率</w:t>
            </w:r>
          </w:p>
        </w:tc>
        <w:tc>
          <w:tcPr>
            <w:tcW w:w="2551" w:type="dxa"/>
            <w:vAlign w:val="center"/>
          </w:tcPr>
          <w:p>
            <w:pPr>
              <w:pStyle w:val="24"/>
            </w:pPr>
            <w:r>
              <w:t>100%</w:t>
            </w:r>
          </w:p>
        </w:tc>
        <w:tc>
          <w:tcPr>
            <w:tcW w:w="2268" w:type="dxa"/>
            <w:vAlign w:val="center"/>
          </w:tcPr>
          <w:p>
            <w:pPr>
              <w:pStyle w:val="2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缩短居民出行时间</w:t>
            </w:r>
          </w:p>
        </w:tc>
        <w:tc>
          <w:tcPr>
            <w:tcW w:w="2835" w:type="dxa"/>
            <w:vAlign w:val="center"/>
          </w:tcPr>
          <w:p>
            <w:pPr>
              <w:pStyle w:val="24"/>
            </w:pPr>
            <w:r>
              <w:t>缩短居民出行时间</w:t>
            </w:r>
          </w:p>
        </w:tc>
        <w:tc>
          <w:tcPr>
            <w:tcW w:w="2551" w:type="dxa"/>
            <w:vAlign w:val="center"/>
          </w:tcPr>
          <w:p>
            <w:pPr>
              <w:pStyle w:val="24"/>
            </w:pPr>
            <w:r>
              <w:t>缩短</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可持续影响指标</w:t>
            </w:r>
          </w:p>
        </w:tc>
        <w:tc>
          <w:tcPr>
            <w:tcW w:w="2835" w:type="dxa"/>
            <w:vAlign w:val="center"/>
          </w:tcPr>
          <w:p>
            <w:pPr>
              <w:pStyle w:val="24"/>
            </w:pPr>
            <w:r>
              <w:t>路面维持年限</w:t>
            </w:r>
          </w:p>
        </w:tc>
        <w:tc>
          <w:tcPr>
            <w:tcW w:w="2835" w:type="dxa"/>
            <w:vAlign w:val="center"/>
          </w:tcPr>
          <w:p>
            <w:pPr>
              <w:pStyle w:val="24"/>
            </w:pPr>
            <w:r>
              <w:t>路面维持年限</w:t>
            </w:r>
          </w:p>
        </w:tc>
        <w:tc>
          <w:tcPr>
            <w:tcW w:w="2551" w:type="dxa"/>
            <w:vAlign w:val="center"/>
          </w:tcPr>
          <w:p>
            <w:pPr>
              <w:pStyle w:val="24"/>
            </w:pPr>
            <w:r>
              <w:t>≥10年</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群众满意度</w:t>
            </w:r>
          </w:p>
        </w:tc>
        <w:tc>
          <w:tcPr>
            <w:tcW w:w="2835" w:type="dxa"/>
            <w:vAlign w:val="center"/>
          </w:tcPr>
          <w:p>
            <w:pPr>
              <w:pStyle w:val="24"/>
            </w:pPr>
            <w:r>
              <w:t>群众满意度</w:t>
            </w:r>
          </w:p>
        </w:tc>
        <w:tc>
          <w:tcPr>
            <w:tcW w:w="2551" w:type="dxa"/>
            <w:vAlign w:val="center"/>
          </w:tcPr>
          <w:p>
            <w:pPr>
              <w:pStyle w:val="24"/>
            </w:pPr>
            <w:r>
              <w:t>≥90%</w:t>
            </w:r>
          </w:p>
        </w:tc>
        <w:tc>
          <w:tcPr>
            <w:tcW w:w="2268" w:type="dxa"/>
            <w:vAlign w:val="center"/>
          </w:tcPr>
          <w:p>
            <w:pPr>
              <w:pStyle w:val="2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12、三圣口乡小朱庄村基础设施建设工程县级配套资金绩效目标表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三圣口乡小朱庄村基础设施建设工程，用于解决小朱庄村村民出行难的问题,完善我乡村基础设施建设，促进村街经济发展，改善区域环境，提升区域城镇化品味，保护区域资源，提升村民生活环境，提高村民满意度，保障村民居住和出行问题。</w:t>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新建改建公路数量</w:t>
            </w:r>
          </w:p>
        </w:tc>
        <w:tc>
          <w:tcPr>
            <w:tcW w:w="2835" w:type="dxa"/>
            <w:vAlign w:val="center"/>
          </w:tcPr>
          <w:p>
            <w:pPr>
              <w:pStyle w:val="24"/>
            </w:pPr>
            <w:r>
              <w:t>新建改建公路数量</w:t>
            </w:r>
          </w:p>
        </w:tc>
        <w:tc>
          <w:tcPr>
            <w:tcW w:w="2551" w:type="dxa"/>
            <w:vAlign w:val="center"/>
          </w:tcPr>
          <w:p>
            <w:pPr>
              <w:pStyle w:val="24"/>
            </w:pPr>
            <w:r>
              <w:t>≥22条</w:t>
            </w:r>
          </w:p>
        </w:tc>
        <w:tc>
          <w:tcPr>
            <w:tcW w:w="2268" w:type="dxa"/>
            <w:vAlign w:val="center"/>
          </w:tcPr>
          <w:p>
            <w:pPr>
              <w:pStyle w:val="24"/>
            </w:pPr>
            <w:r>
              <w:t>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资金成本</w:t>
            </w:r>
          </w:p>
        </w:tc>
        <w:tc>
          <w:tcPr>
            <w:tcW w:w="2835" w:type="dxa"/>
            <w:vAlign w:val="center"/>
          </w:tcPr>
          <w:p>
            <w:pPr>
              <w:pStyle w:val="24"/>
            </w:pPr>
            <w:r>
              <w:t>资金成本</w:t>
            </w:r>
          </w:p>
        </w:tc>
        <w:tc>
          <w:tcPr>
            <w:tcW w:w="2551" w:type="dxa"/>
            <w:vAlign w:val="center"/>
          </w:tcPr>
          <w:p>
            <w:pPr>
              <w:pStyle w:val="24"/>
            </w:pPr>
            <w:r>
              <w:t>≤116.78万元</w:t>
            </w:r>
          </w:p>
        </w:tc>
        <w:tc>
          <w:tcPr>
            <w:tcW w:w="2268" w:type="dxa"/>
            <w:vAlign w:val="center"/>
          </w:tcPr>
          <w:p>
            <w:pPr>
              <w:pStyle w:val="24"/>
            </w:pPr>
            <w:r>
              <w:t>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新建改建公路验收合格率</w:t>
            </w:r>
          </w:p>
        </w:tc>
        <w:tc>
          <w:tcPr>
            <w:tcW w:w="2835" w:type="dxa"/>
            <w:vAlign w:val="center"/>
          </w:tcPr>
          <w:p>
            <w:pPr>
              <w:pStyle w:val="24"/>
            </w:pPr>
            <w:r>
              <w:t>新建改建公路验收合格率</w:t>
            </w:r>
          </w:p>
        </w:tc>
        <w:tc>
          <w:tcPr>
            <w:tcW w:w="2551" w:type="dxa"/>
            <w:vAlign w:val="center"/>
          </w:tcPr>
          <w:p>
            <w:pPr>
              <w:pStyle w:val="24"/>
            </w:pPr>
            <w:r>
              <w:t>100%</w:t>
            </w:r>
          </w:p>
        </w:tc>
        <w:tc>
          <w:tcPr>
            <w:tcW w:w="2268" w:type="dxa"/>
            <w:vAlign w:val="center"/>
          </w:tcPr>
          <w:p>
            <w:pPr>
              <w:pStyle w:val="24"/>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新建改建公路完成及时率</w:t>
            </w:r>
          </w:p>
        </w:tc>
        <w:tc>
          <w:tcPr>
            <w:tcW w:w="2835" w:type="dxa"/>
            <w:vAlign w:val="center"/>
          </w:tcPr>
          <w:p>
            <w:pPr>
              <w:pStyle w:val="24"/>
            </w:pPr>
            <w:r>
              <w:t>新建改建公路完成及时率</w:t>
            </w:r>
          </w:p>
        </w:tc>
        <w:tc>
          <w:tcPr>
            <w:tcW w:w="2551" w:type="dxa"/>
            <w:vAlign w:val="center"/>
          </w:tcPr>
          <w:p>
            <w:pPr>
              <w:pStyle w:val="24"/>
            </w:pPr>
            <w:r>
              <w:t>100%</w:t>
            </w:r>
          </w:p>
        </w:tc>
        <w:tc>
          <w:tcPr>
            <w:tcW w:w="2268" w:type="dxa"/>
            <w:vAlign w:val="center"/>
          </w:tcPr>
          <w:p>
            <w:pPr>
              <w:pStyle w:val="2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缩短居民出行时间</w:t>
            </w:r>
          </w:p>
        </w:tc>
        <w:tc>
          <w:tcPr>
            <w:tcW w:w="2835" w:type="dxa"/>
            <w:vAlign w:val="center"/>
          </w:tcPr>
          <w:p>
            <w:pPr>
              <w:pStyle w:val="24"/>
            </w:pPr>
            <w:r>
              <w:t>缩短居民出行时间</w:t>
            </w:r>
          </w:p>
        </w:tc>
        <w:tc>
          <w:tcPr>
            <w:tcW w:w="2551" w:type="dxa"/>
            <w:vAlign w:val="center"/>
          </w:tcPr>
          <w:p>
            <w:pPr>
              <w:pStyle w:val="24"/>
            </w:pPr>
            <w:r>
              <w:t>缩短</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可持续影响指标</w:t>
            </w:r>
          </w:p>
        </w:tc>
        <w:tc>
          <w:tcPr>
            <w:tcW w:w="2835" w:type="dxa"/>
            <w:vAlign w:val="center"/>
          </w:tcPr>
          <w:p>
            <w:pPr>
              <w:pStyle w:val="24"/>
            </w:pPr>
            <w:r>
              <w:t>路面维持年限</w:t>
            </w:r>
          </w:p>
        </w:tc>
        <w:tc>
          <w:tcPr>
            <w:tcW w:w="2835" w:type="dxa"/>
            <w:vAlign w:val="center"/>
          </w:tcPr>
          <w:p>
            <w:pPr>
              <w:pStyle w:val="24"/>
            </w:pPr>
            <w:r>
              <w:t>路面维持年限</w:t>
            </w:r>
          </w:p>
        </w:tc>
        <w:tc>
          <w:tcPr>
            <w:tcW w:w="2551" w:type="dxa"/>
            <w:vAlign w:val="center"/>
          </w:tcPr>
          <w:p>
            <w:pPr>
              <w:pStyle w:val="24"/>
            </w:pPr>
            <w:r>
              <w:t>≥10年</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群众满意度</w:t>
            </w:r>
          </w:p>
        </w:tc>
        <w:tc>
          <w:tcPr>
            <w:tcW w:w="2835" w:type="dxa"/>
            <w:vAlign w:val="center"/>
          </w:tcPr>
          <w:p>
            <w:pPr>
              <w:pStyle w:val="24"/>
            </w:pPr>
            <w:r>
              <w:t>群众满意度</w:t>
            </w:r>
          </w:p>
        </w:tc>
        <w:tc>
          <w:tcPr>
            <w:tcW w:w="2551" w:type="dxa"/>
            <w:vAlign w:val="center"/>
          </w:tcPr>
          <w:p>
            <w:pPr>
              <w:pStyle w:val="24"/>
            </w:pPr>
            <w:r>
              <w:t>≥90%</w:t>
            </w:r>
          </w:p>
        </w:tc>
        <w:tc>
          <w:tcPr>
            <w:tcW w:w="2268" w:type="dxa"/>
            <w:vAlign w:val="center"/>
          </w:tcPr>
          <w:p>
            <w:pPr>
              <w:pStyle w:val="2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13、三圣口乡信访维稳经费绩效目标表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1.三圣口乡信访维稳经费，保障信访维稳人员差旅费、雇佣临时维稳人员的劳务费等等费用支出，解决域内涉军及其他人员及不稳定因素，保障基层信访维稳工作，保障社会和谐稳定。</w:t>
            </w:r>
            <w:r>
              <w:tab/>
            </w: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对信访事件答复率</w:t>
            </w:r>
          </w:p>
        </w:tc>
        <w:tc>
          <w:tcPr>
            <w:tcW w:w="2835" w:type="dxa"/>
            <w:vAlign w:val="center"/>
          </w:tcPr>
          <w:p>
            <w:pPr>
              <w:pStyle w:val="24"/>
            </w:pPr>
            <w:r>
              <w:t>对信访事件答复比率</w:t>
            </w:r>
          </w:p>
        </w:tc>
        <w:tc>
          <w:tcPr>
            <w:tcW w:w="2551" w:type="dxa"/>
            <w:vAlign w:val="center"/>
          </w:tcPr>
          <w:p>
            <w:pPr>
              <w:pStyle w:val="24"/>
            </w:pPr>
            <w:r>
              <w:t>≥95％</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信访维稳工作完成率</w:t>
            </w:r>
          </w:p>
        </w:tc>
        <w:tc>
          <w:tcPr>
            <w:tcW w:w="2835" w:type="dxa"/>
            <w:vAlign w:val="center"/>
          </w:tcPr>
          <w:p>
            <w:pPr>
              <w:pStyle w:val="24"/>
            </w:pPr>
            <w:r>
              <w:t>已完成的信访维稳工作占应完成信访维稳工作数量的比率</w:t>
            </w:r>
          </w:p>
        </w:tc>
        <w:tc>
          <w:tcPr>
            <w:tcW w:w="2551" w:type="dxa"/>
            <w:vAlign w:val="center"/>
          </w:tcPr>
          <w:p>
            <w:pPr>
              <w:pStyle w:val="24"/>
            </w:pPr>
            <w:r>
              <w:t>≥95％</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工作完成时间</w:t>
            </w:r>
          </w:p>
        </w:tc>
        <w:tc>
          <w:tcPr>
            <w:tcW w:w="2835" w:type="dxa"/>
            <w:vAlign w:val="center"/>
          </w:tcPr>
          <w:p>
            <w:pPr>
              <w:pStyle w:val="24"/>
            </w:pPr>
            <w:r>
              <w:t>工作完成时间</w:t>
            </w:r>
          </w:p>
        </w:tc>
        <w:tc>
          <w:tcPr>
            <w:tcW w:w="2551" w:type="dxa"/>
            <w:vAlign w:val="center"/>
          </w:tcPr>
          <w:p>
            <w:pPr>
              <w:pStyle w:val="24"/>
            </w:pPr>
            <w:r>
              <w:t>12月份</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项目成本控制</w:t>
            </w:r>
          </w:p>
        </w:tc>
        <w:tc>
          <w:tcPr>
            <w:tcW w:w="2835" w:type="dxa"/>
            <w:vAlign w:val="center"/>
          </w:tcPr>
          <w:p>
            <w:pPr>
              <w:pStyle w:val="24"/>
            </w:pPr>
            <w:r>
              <w:t>项目成本控制</w:t>
            </w:r>
          </w:p>
        </w:tc>
        <w:tc>
          <w:tcPr>
            <w:tcW w:w="2551" w:type="dxa"/>
            <w:vAlign w:val="center"/>
          </w:tcPr>
          <w:p>
            <w:pPr>
              <w:pStyle w:val="24"/>
            </w:pPr>
            <w:r>
              <w:t>≤20万元</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信访维稳保障能力提升情况</w:t>
            </w:r>
          </w:p>
        </w:tc>
        <w:tc>
          <w:tcPr>
            <w:tcW w:w="2835" w:type="dxa"/>
            <w:vAlign w:val="center"/>
          </w:tcPr>
          <w:p>
            <w:pPr>
              <w:pStyle w:val="24"/>
            </w:pPr>
            <w:r>
              <w:t>信访维稳保障能力提升情况</w:t>
            </w:r>
          </w:p>
        </w:tc>
        <w:tc>
          <w:tcPr>
            <w:tcW w:w="2551" w:type="dxa"/>
            <w:vAlign w:val="center"/>
          </w:tcPr>
          <w:p>
            <w:pPr>
              <w:pStyle w:val="24"/>
            </w:pPr>
            <w:r>
              <w:t>提升</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可持续影响指标</w:t>
            </w:r>
          </w:p>
        </w:tc>
        <w:tc>
          <w:tcPr>
            <w:tcW w:w="2835" w:type="dxa"/>
            <w:vAlign w:val="center"/>
          </w:tcPr>
          <w:p>
            <w:pPr>
              <w:pStyle w:val="24"/>
            </w:pPr>
            <w:r>
              <w:t>制度及实施方案健全程度</w:t>
            </w:r>
          </w:p>
        </w:tc>
        <w:tc>
          <w:tcPr>
            <w:tcW w:w="2835" w:type="dxa"/>
            <w:vAlign w:val="center"/>
          </w:tcPr>
          <w:p>
            <w:pPr>
              <w:pStyle w:val="24"/>
            </w:pPr>
            <w:r>
              <w:t>制度及实施方案健全程度</w:t>
            </w:r>
          </w:p>
        </w:tc>
        <w:tc>
          <w:tcPr>
            <w:tcW w:w="2551" w:type="dxa"/>
            <w:vAlign w:val="center"/>
          </w:tcPr>
          <w:p>
            <w:pPr>
              <w:pStyle w:val="24"/>
            </w:pPr>
            <w:r>
              <w:t>健全</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群众满意度（%）</w:t>
            </w:r>
          </w:p>
        </w:tc>
        <w:tc>
          <w:tcPr>
            <w:tcW w:w="2835" w:type="dxa"/>
            <w:vAlign w:val="center"/>
          </w:tcPr>
          <w:p>
            <w:pPr>
              <w:pStyle w:val="24"/>
            </w:pPr>
            <w:r>
              <w:t>调查中使用人员满意和较满意的数量占调查总人数的比率</w:t>
            </w:r>
          </w:p>
        </w:tc>
        <w:tc>
          <w:tcPr>
            <w:tcW w:w="2551" w:type="dxa"/>
            <w:vAlign w:val="center"/>
          </w:tcPr>
          <w:p>
            <w:pPr>
              <w:pStyle w:val="24"/>
            </w:pPr>
            <w:r>
              <w:t>≥95％</w:t>
            </w:r>
          </w:p>
        </w:tc>
        <w:tc>
          <w:tcPr>
            <w:tcW w:w="2268" w:type="dxa"/>
            <w:vAlign w:val="center"/>
          </w:tcPr>
          <w:p>
            <w:pPr>
              <w:pStyle w:val="24"/>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14、三圣口乡综合保障经费绩效目标表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2"/>
            </w:pPr>
            <w:r>
              <w:t>绩效目标</w:t>
            </w:r>
          </w:p>
        </w:tc>
        <w:tc>
          <w:tcPr>
            <w:tcW w:w="12756" w:type="dxa"/>
            <w:tcBorders>
              <w:bottom w:val="single" w:color="FFFFFF" w:sz="6" w:space="0"/>
            </w:tcBorders>
            <w:vAlign w:val="center"/>
          </w:tcPr>
          <w:p>
            <w:pPr>
              <w:pStyle w:val="24"/>
            </w:pPr>
            <w:r>
              <w:t>1.三圣口乡综合保障经费保障购置及维护我乡办公经费、物业管理费用、电费、取暖费，政策宣传工作经费等各项支出，保障我乡各项工作顺利开展，保障我乡机关正常运转，提高乡政府的群众服务能力及工作人员的工作效率。</w:t>
            </w:r>
            <w:r>
              <w:tab/>
            </w:r>
            <w:r>
              <w:tab/>
            </w:r>
            <w:r>
              <w:tab/>
            </w:r>
            <w:r>
              <w:tab/>
            </w:r>
            <w:r>
              <w:tab/>
            </w:r>
            <w:r>
              <w:tab/>
            </w:r>
          </w:p>
          <w:p>
            <w:pPr>
              <w:pStyle w:val="24"/>
            </w:pPr>
          </w:p>
        </w:tc>
      </w:tr>
    </w:tbl>
    <w:p>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2835" w:type="dxa"/>
            <w:vAlign w:val="center"/>
          </w:tcPr>
          <w:p>
            <w:pPr>
              <w:pStyle w:val="22"/>
            </w:pPr>
            <w:r>
              <w:t>绩效指标描述</w:t>
            </w:r>
          </w:p>
        </w:tc>
        <w:tc>
          <w:tcPr>
            <w:tcW w:w="2551" w:type="dxa"/>
            <w:vAlign w:val="center"/>
          </w:tcPr>
          <w:p>
            <w:pPr>
              <w:pStyle w:val="22"/>
            </w:pPr>
            <w:r>
              <w:t>指标值</w:t>
            </w:r>
          </w:p>
        </w:tc>
        <w:tc>
          <w:tcPr>
            <w:tcW w:w="2268" w:type="dxa"/>
            <w:vAlign w:val="center"/>
          </w:tcPr>
          <w:p>
            <w:pPr>
              <w:pStyle w:val="2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保障部门个数</w:t>
            </w:r>
          </w:p>
        </w:tc>
        <w:tc>
          <w:tcPr>
            <w:tcW w:w="2835" w:type="dxa"/>
            <w:vAlign w:val="center"/>
          </w:tcPr>
          <w:p>
            <w:pPr>
              <w:pStyle w:val="24"/>
            </w:pPr>
            <w:r>
              <w:t>年度内完成的上级安排的工作部门个数</w:t>
            </w:r>
          </w:p>
        </w:tc>
        <w:tc>
          <w:tcPr>
            <w:tcW w:w="2551" w:type="dxa"/>
            <w:vAlign w:val="center"/>
          </w:tcPr>
          <w:p>
            <w:pPr>
              <w:pStyle w:val="24"/>
            </w:pPr>
            <w:r>
              <w:t>8个</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质量指标</w:t>
            </w:r>
          </w:p>
        </w:tc>
        <w:tc>
          <w:tcPr>
            <w:tcW w:w="2835" w:type="dxa"/>
            <w:vAlign w:val="center"/>
          </w:tcPr>
          <w:p>
            <w:pPr>
              <w:pStyle w:val="24"/>
            </w:pPr>
            <w:r>
              <w:t>工作完成合格率</w:t>
            </w:r>
          </w:p>
        </w:tc>
        <w:tc>
          <w:tcPr>
            <w:tcW w:w="2835" w:type="dxa"/>
            <w:vAlign w:val="center"/>
          </w:tcPr>
          <w:p>
            <w:pPr>
              <w:pStyle w:val="24"/>
            </w:pPr>
            <w:r>
              <w:t>合格的工作任务占总工作任务数的比重</w:t>
            </w:r>
          </w:p>
        </w:tc>
        <w:tc>
          <w:tcPr>
            <w:tcW w:w="2551" w:type="dxa"/>
            <w:vAlign w:val="center"/>
          </w:tcPr>
          <w:p>
            <w:pPr>
              <w:pStyle w:val="24"/>
            </w:pPr>
            <w:r>
              <w:t>100％</w:t>
            </w:r>
          </w:p>
        </w:tc>
        <w:tc>
          <w:tcPr>
            <w:tcW w:w="2268" w:type="dxa"/>
            <w:vAlign w:val="center"/>
          </w:tcPr>
          <w:p>
            <w:pPr>
              <w:pStyle w:val="2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时效指标</w:t>
            </w:r>
          </w:p>
        </w:tc>
        <w:tc>
          <w:tcPr>
            <w:tcW w:w="2835" w:type="dxa"/>
            <w:vAlign w:val="center"/>
          </w:tcPr>
          <w:p>
            <w:pPr>
              <w:pStyle w:val="24"/>
            </w:pPr>
            <w:r>
              <w:t>乡政府工作任务完成时间</w:t>
            </w:r>
          </w:p>
        </w:tc>
        <w:tc>
          <w:tcPr>
            <w:tcW w:w="2835" w:type="dxa"/>
            <w:vAlign w:val="center"/>
          </w:tcPr>
          <w:p>
            <w:pPr>
              <w:pStyle w:val="24"/>
            </w:pPr>
            <w:r>
              <w:t>按规定时间完成</w:t>
            </w:r>
          </w:p>
        </w:tc>
        <w:tc>
          <w:tcPr>
            <w:tcW w:w="2551" w:type="dxa"/>
            <w:vAlign w:val="center"/>
          </w:tcPr>
          <w:p>
            <w:pPr>
              <w:pStyle w:val="24"/>
            </w:pPr>
            <w:r>
              <w:t>12个月</w:t>
            </w:r>
          </w:p>
        </w:tc>
        <w:tc>
          <w:tcPr>
            <w:tcW w:w="2268" w:type="dxa"/>
            <w:vAlign w:val="center"/>
          </w:tcPr>
          <w:p>
            <w:pPr>
              <w:pStyle w:val="2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成本指标</w:t>
            </w:r>
          </w:p>
        </w:tc>
        <w:tc>
          <w:tcPr>
            <w:tcW w:w="2835" w:type="dxa"/>
            <w:vAlign w:val="center"/>
          </w:tcPr>
          <w:p>
            <w:pPr>
              <w:pStyle w:val="24"/>
            </w:pPr>
            <w:r>
              <w:t>项目成本控制</w:t>
            </w:r>
          </w:p>
        </w:tc>
        <w:tc>
          <w:tcPr>
            <w:tcW w:w="2835" w:type="dxa"/>
            <w:vAlign w:val="center"/>
          </w:tcPr>
          <w:p>
            <w:pPr>
              <w:pStyle w:val="24"/>
            </w:pPr>
            <w:r>
              <w:t>按照规定标准控制</w:t>
            </w:r>
          </w:p>
        </w:tc>
        <w:tc>
          <w:tcPr>
            <w:tcW w:w="2551" w:type="dxa"/>
            <w:vAlign w:val="center"/>
          </w:tcPr>
          <w:p>
            <w:pPr>
              <w:pStyle w:val="24"/>
            </w:pPr>
            <w:r>
              <w:t>≤225.36万元</w:t>
            </w:r>
          </w:p>
        </w:tc>
        <w:tc>
          <w:tcPr>
            <w:tcW w:w="2268" w:type="dxa"/>
            <w:vAlign w:val="center"/>
          </w:tcPr>
          <w:p>
            <w:pPr>
              <w:pStyle w:val="2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制度及实施方案健全程度</w:t>
            </w:r>
          </w:p>
        </w:tc>
        <w:tc>
          <w:tcPr>
            <w:tcW w:w="2835" w:type="dxa"/>
            <w:vAlign w:val="center"/>
          </w:tcPr>
          <w:p>
            <w:pPr>
              <w:pStyle w:val="24"/>
            </w:pPr>
            <w:r>
              <w:t>制度及实施方案健全程度</w:t>
            </w:r>
          </w:p>
        </w:tc>
        <w:tc>
          <w:tcPr>
            <w:tcW w:w="2551" w:type="dxa"/>
            <w:vAlign w:val="center"/>
          </w:tcPr>
          <w:p>
            <w:pPr>
              <w:pStyle w:val="24"/>
            </w:pPr>
            <w:r>
              <w:t>健全</w:t>
            </w:r>
          </w:p>
        </w:tc>
        <w:tc>
          <w:tcPr>
            <w:tcW w:w="2268" w:type="dxa"/>
            <w:vAlign w:val="center"/>
          </w:tcPr>
          <w:p>
            <w:pPr>
              <w:pStyle w:val="2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4"/>
            </w:pPr>
            <w:r>
              <w:t>可持续影响指标</w:t>
            </w:r>
          </w:p>
        </w:tc>
        <w:tc>
          <w:tcPr>
            <w:tcW w:w="2835" w:type="dxa"/>
            <w:vAlign w:val="center"/>
          </w:tcPr>
          <w:p>
            <w:pPr>
              <w:pStyle w:val="24"/>
            </w:pPr>
            <w:r>
              <w:t>工作效率提高情况</w:t>
            </w:r>
          </w:p>
        </w:tc>
        <w:tc>
          <w:tcPr>
            <w:tcW w:w="2835" w:type="dxa"/>
            <w:vAlign w:val="center"/>
          </w:tcPr>
          <w:p>
            <w:pPr>
              <w:pStyle w:val="24"/>
            </w:pPr>
            <w:r>
              <w:t>工作效率提高情况</w:t>
            </w:r>
          </w:p>
        </w:tc>
        <w:tc>
          <w:tcPr>
            <w:tcW w:w="2551" w:type="dxa"/>
            <w:vAlign w:val="center"/>
          </w:tcPr>
          <w:p>
            <w:pPr>
              <w:pStyle w:val="24"/>
            </w:pPr>
            <w:r>
              <w:t>提高</w:t>
            </w:r>
          </w:p>
        </w:tc>
        <w:tc>
          <w:tcPr>
            <w:tcW w:w="2268" w:type="dxa"/>
            <w:vAlign w:val="center"/>
          </w:tcPr>
          <w:p>
            <w:pPr>
              <w:pStyle w:val="2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工作人员满意度（%）</w:t>
            </w:r>
          </w:p>
        </w:tc>
        <w:tc>
          <w:tcPr>
            <w:tcW w:w="2835" w:type="dxa"/>
            <w:vAlign w:val="center"/>
          </w:tcPr>
          <w:p>
            <w:pPr>
              <w:pStyle w:val="24"/>
            </w:pPr>
            <w:r>
              <w:t>工作人员满意度（%）</w:t>
            </w:r>
          </w:p>
        </w:tc>
        <w:tc>
          <w:tcPr>
            <w:tcW w:w="2551" w:type="dxa"/>
            <w:vAlign w:val="center"/>
          </w:tcPr>
          <w:p>
            <w:pPr>
              <w:pStyle w:val="24"/>
            </w:pPr>
            <w:r>
              <w:t>≥95％</w:t>
            </w:r>
          </w:p>
        </w:tc>
        <w:tc>
          <w:tcPr>
            <w:tcW w:w="2268" w:type="dxa"/>
            <w:vAlign w:val="center"/>
          </w:tcPr>
          <w:p>
            <w:pPr>
              <w:pStyle w:val="24"/>
            </w:pPr>
            <w:r>
              <w:t>调查问卷</w:t>
            </w:r>
          </w:p>
        </w:tc>
      </w:tr>
    </w:tbl>
    <w:p>
      <w:pPr>
        <w:sectPr>
          <w:pgSz w:w="16840" w:h="11900" w:orient="landscape"/>
          <w:pgMar w:top="1361" w:right="1020" w:bottom="1134" w:left="1020" w:header="720" w:footer="720" w:gutter="0"/>
          <w:cols w:space="720" w:num="1"/>
        </w:sectPr>
      </w:pPr>
    </w:p>
    <w:bookmarkEnd w:id="0"/>
    <w:p>
      <w:pPr>
        <w:ind w:firstLine="640" w:firstLineChars="200"/>
        <w:rPr>
          <w:rFonts w:ascii="黑体" w:hAnsi="黑体" w:eastAsia="黑体" w:cs="黑体"/>
          <w:sz w:val="32"/>
          <w:szCs w:val="32"/>
        </w:rPr>
      </w:pPr>
      <w:r>
        <w:rPr>
          <w:rFonts w:hint="eastAsia" w:ascii="黑体" w:hAnsi="黑体" w:eastAsia="黑体" w:cs="黑体"/>
          <w:sz w:val="32"/>
          <w:szCs w:val="32"/>
        </w:rPr>
        <w:t>六、政府采购预算情况</w:t>
      </w:r>
    </w:p>
    <w:p>
      <w:pPr>
        <w:outlineLvl w:val="0"/>
        <w:rPr>
          <w:rFonts w:ascii="仿宋_GB2312" w:hAnsi="Times New Roman" w:eastAsia="仿宋_GB2312"/>
          <w:sz w:val="32"/>
          <w:szCs w:val="24"/>
        </w:rPr>
      </w:pPr>
      <w:bookmarkStart w:id="2" w:name="_Toc471398468"/>
      <w:bookmarkEnd w:id="2"/>
      <w:r>
        <w:rPr>
          <w:rFonts w:hint="eastAsia" w:ascii="仿宋_GB2312" w:hAnsi="Times New Roman" w:eastAsia="仿宋_GB2312"/>
          <w:sz w:val="32"/>
          <w:szCs w:val="24"/>
        </w:rPr>
        <w:t xml:space="preserve">    2023年，我</w:t>
      </w:r>
      <w:r>
        <w:rPr>
          <w:rFonts w:hint="eastAsia" w:ascii="仿宋_GB2312" w:hAnsi="Times New Roman" w:eastAsia="仿宋_GB2312"/>
          <w:sz w:val="32"/>
          <w:szCs w:val="24"/>
          <w:lang w:eastAsia="zh-CN"/>
        </w:rPr>
        <w:t>乡</w:t>
      </w:r>
      <w:r>
        <w:rPr>
          <w:rFonts w:hint="eastAsia" w:ascii="仿宋_GB2312" w:hAnsi="Times New Roman" w:eastAsia="仿宋_GB2312"/>
          <w:sz w:val="32"/>
          <w:szCs w:val="24"/>
        </w:rPr>
        <w:t>安排政府采购预算0万元,具体内容见下表。</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lang w:eastAsia="zh-CN"/>
        </w:rPr>
        <w:t>单位</w:t>
      </w:r>
      <w:r>
        <w:rPr>
          <w:rFonts w:hint="eastAsia" w:ascii="仿宋_GB2312" w:hAnsi="Times New Roman" w:eastAsia="仿宋_GB2312"/>
          <w:sz w:val="32"/>
          <w:szCs w:val="24"/>
        </w:rPr>
        <w:t>政府采购预算</w:t>
      </w:r>
    </w:p>
    <w:p>
      <w:pPr>
        <w:outlineLvl w:val="0"/>
        <w:rPr>
          <w:rFonts w:ascii="仿宋_GB2312" w:hAnsi="Times New Roman" w:eastAsia="仿宋_GB2312"/>
          <w:sz w:val="32"/>
          <w:szCs w:val="24"/>
        </w:rPr>
      </w:pPr>
      <w:r>
        <w:rPr>
          <w:rFonts w:hint="eastAsia" w:ascii="仿宋_GB2312" w:hAnsi="Times New Roman" w:eastAsia="仿宋_GB2312"/>
          <w:sz w:val="32"/>
          <w:szCs w:val="24"/>
        </w:rPr>
        <w:t>永清县</w:t>
      </w:r>
      <w:r>
        <w:rPr>
          <w:rFonts w:hint="eastAsia" w:ascii="仿宋_GB2312" w:hAnsi="Times New Roman" w:eastAsia="仿宋_GB2312"/>
          <w:sz w:val="32"/>
          <w:szCs w:val="24"/>
          <w:lang w:eastAsia="zh-CN"/>
        </w:rPr>
        <w:t>三圣口乡</w:t>
      </w:r>
      <w:r>
        <w:rPr>
          <w:rFonts w:hint="eastAsia" w:ascii="仿宋_GB2312" w:hAnsi="Times New Roman" w:eastAsia="仿宋_GB2312"/>
          <w:sz w:val="32"/>
          <w:szCs w:val="24"/>
        </w:rPr>
        <w:t>人民政府                                                       单位：万元</w:t>
      </w:r>
    </w:p>
    <w:tbl>
      <w:tblPr>
        <w:tblStyle w:val="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83"/>
        <w:gridCol w:w="1666"/>
        <w:gridCol w:w="1689"/>
        <w:gridCol w:w="1293"/>
        <w:gridCol w:w="677"/>
        <w:gridCol w:w="699"/>
        <w:gridCol w:w="897"/>
        <w:gridCol w:w="900"/>
        <w:gridCol w:w="900"/>
        <w:gridCol w:w="900"/>
        <w:gridCol w:w="743"/>
        <w:gridCol w:w="872"/>
        <w:gridCol w:w="883"/>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tblHeader/>
          <w:jc w:val="center"/>
        </w:trPr>
        <w:tc>
          <w:tcPr>
            <w:tcW w:w="891" w:type="pct"/>
            <w:gridSpan w:val="2"/>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政府采购项目来源</w:t>
            </w:r>
          </w:p>
        </w:tc>
        <w:tc>
          <w:tcPr>
            <w:tcW w:w="614" w:type="pct"/>
            <w:vMerge w:val="restar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采购物品名称</w:t>
            </w:r>
          </w:p>
        </w:tc>
        <w:tc>
          <w:tcPr>
            <w:tcW w:w="470" w:type="pct"/>
            <w:vMerge w:val="restar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政府采购目录序号</w:t>
            </w:r>
          </w:p>
        </w:tc>
        <w:tc>
          <w:tcPr>
            <w:tcW w:w="246" w:type="pct"/>
            <w:vMerge w:val="restar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数量</w:t>
            </w:r>
          </w:p>
        </w:tc>
        <w:tc>
          <w:tcPr>
            <w:tcW w:w="326" w:type="pct"/>
            <w:vMerge w:val="restar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单价</w:t>
            </w:r>
          </w:p>
        </w:tc>
        <w:tc>
          <w:tcPr>
            <w:tcW w:w="2198" w:type="pct"/>
            <w:gridSpan w:val="7"/>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5" w:type="pct"/>
            <w:vMerge w:val="restar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项目名称</w:t>
            </w:r>
          </w:p>
        </w:tc>
        <w:tc>
          <w:tcPr>
            <w:tcW w:w="606" w:type="pct"/>
            <w:vMerge w:val="restar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预算资金</w:t>
            </w:r>
          </w:p>
        </w:tc>
        <w:tc>
          <w:tcPr>
            <w:tcW w:w="614" w:type="pct"/>
            <w:vMerge w:val="continue"/>
            <w:shd w:val="clear" w:color="auto" w:fill="auto"/>
            <w:vAlign w:val="center"/>
          </w:tcPr>
          <w:p>
            <w:pPr>
              <w:spacing w:line="584" w:lineRule="exact"/>
              <w:jc w:val="left"/>
              <w:outlineLvl w:val="0"/>
              <w:rPr>
                <w:rFonts w:ascii="Times New Roman" w:hAnsi="Times New Roman" w:eastAsia="仿宋_GB2312"/>
              </w:rPr>
            </w:pPr>
          </w:p>
        </w:tc>
        <w:tc>
          <w:tcPr>
            <w:tcW w:w="470" w:type="pct"/>
            <w:vMerge w:val="continue"/>
            <w:shd w:val="clear" w:color="auto" w:fill="auto"/>
            <w:vAlign w:val="center"/>
          </w:tcPr>
          <w:p>
            <w:pPr>
              <w:spacing w:line="584" w:lineRule="exact"/>
              <w:jc w:val="left"/>
              <w:outlineLvl w:val="0"/>
              <w:rPr>
                <w:rFonts w:ascii="Times New Roman" w:hAnsi="Times New Roman" w:eastAsia="仿宋_GB2312"/>
              </w:rPr>
            </w:pPr>
          </w:p>
        </w:tc>
        <w:tc>
          <w:tcPr>
            <w:tcW w:w="246" w:type="pct"/>
            <w:vMerge w:val="continue"/>
            <w:shd w:val="clear" w:color="auto" w:fill="auto"/>
            <w:vAlign w:val="center"/>
          </w:tcPr>
          <w:p>
            <w:pPr>
              <w:spacing w:line="584" w:lineRule="exact"/>
              <w:jc w:val="left"/>
              <w:outlineLvl w:val="0"/>
              <w:rPr>
                <w:rFonts w:ascii="Times New Roman" w:hAnsi="Times New Roman" w:eastAsia="仿宋_GB2312"/>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rPr>
            </w:pPr>
          </w:p>
        </w:tc>
        <w:tc>
          <w:tcPr>
            <w:tcW w:w="327" w:type="pct"/>
            <w:vMerge w:val="restar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总计</w:t>
            </w:r>
          </w:p>
        </w:tc>
        <w:tc>
          <w:tcPr>
            <w:tcW w:w="1562" w:type="pct"/>
            <w:gridSpan w:val="5"/>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当年</w:t>
            </w:r>
            <w:r>
              <w:rPr>
                <w:rFonts w:hint="eastAsia" w:ascii="Times New Roman" w:hAnsi="Times New Roman" w:eastAsia="仿宋_GB2312"/>
                <w:b/>
                <w:lang w:eastAsia="zh-CN"/>
              </w:rPr>
              <w:t>单位</w:t>
            </w:r>
            <w:r>
              <w:rPr>
                <w:rFonts w:ascii="Times New Roman" w:hAnsi="Times New Roman" w:eastAsia="仿宋_GB2312"/>
                <w:b/>
              </w:rPr>
              <w:t>预算安排资金</w:t>
            </w:r>
          </w:p>
        </w:tc>
        <w:tc>
          <w:tcPr>
            <w:tcW w:w="308" w:type="pct"/>
            <w:vMerge w:val="restar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7" w:hRule="atLeast"/>
          <w:tblHeader/>
          <w:jc w:val="center"/>
        </w:trPr>
        <w:tc>
          <w:tcPr>
            <w:tcW w:w="285" w:type="pct"/>
            <w:vMerge w:val="continue"/>
            <w:shd w:val="clear" w:color="auto" w:fill="auto"/>
            <w:vAlign w:val="center"/>
          </w:tcPr>
          <w:p>
            <w:pPr>
              <w:spacing w:line="584" w:lineRule="exact"/>
              <w:jc w:val="left"/>
              <w:outlineLvl w:val="0"/>
              <w:rPr>
                <w:rFonts w:ascii="Times New Roman" w:hAnsi="Times New Roman" w:eastAsia="仿宋_GB2312"/>
              </w:rPr>
            </w:pPr>
          </w:p>
        </w:tc>
        <w:tc>
          <w:tcPr>
            <w:tcW w:w="606" w:type="pct"/>
            <w:vMerge w:val="continue"/>
            <w:shd w:val="clear" w:color="auto" w:fill="auto"/>
            <w:vAlign w:val="center"/>
          </w:tcPr>
          <w:p>
            <w:pPr>
              <w:spacing w:line="584" w:lineRule="exact"/>
              <w:jc w:val="left"/>
              <w:outlineLvl w:val="0"/>
              <w:rPr>
                <w:rFonts w:ascii="Times New Roman" w:hAnsi="Times New Roman" w:eastAsia="仿宋_GB2312"/>
              </w:rPr>
            </w:pPr>
          </w:p>
        </w:tc>
        <w:tc>
          <w:tcPr>
            <w:tcW w:w="614" w:type="pct"/>
            <w:vMerge w:val="continue"/>
            <w:shd w:val="clear" w:color="auto" w:fill="auto"/>
            <w:vAlign w:val="center"/>
          </w:tcPr>
          <w:p>
            <w:pPr>
              <w:spacing w:line="584" w:lineRule="exact"/>
              <w:jc w:val="left"/>
              <w:outlineLvl w:val="0"/>
              <w:rPr>
                <w:rFonts w:ascii="Times New Roman" w:hAnsi="Times New Roman" w:eastAsia="仿宋_GB2312"/>
              </w:rPr>
            </w:pPr>
          </w:p>
        </w:tc>
        <w:tc>
          <w:tcPr>
            <w:tcW w:w="470" w:type="pct"/>
            <w:vMerge w:val="continue"/>
            <w:shd w:val="clear" w:color="auto" w:fill="auto"/>
            <w:vAlign w:val="center"/>
          </w:tcPr>
          <w:p>
            <w:pPr>
              <w:spacing w:line="584" w:lineRule="exact"/>
              <w:jc w:val="left"/>
              <w:outlineLvl w:val="0"/>
              <w:rPr>
                <w:rFonts w:ascii="Times New Roman" w:hAnsi="Times New Roman" w:eastAsia="仿宋_GB2312"/>
              </w:rPr>
            </w:pPr>
          </w:p>
        </w:tc>
        <w:tc>
          <w:tcPr>
            <w:tcW w:w="246" w:type="pct"/>
            <w:vMerge w:val="continue"/>
            <w:shd w:val="clear" w:color="auto" w:fill="auto"/>
            <w:vAlign w:val="center"/>
          </w:tcPr>
          <w:p>
            <w:pPr>
              <w:spacing w:line="584" w:lineRule="exact"/>
              <w:jc w:val="left"/>
              <w:outlineLvl w:val="0"/>
              <w:rPr>
                <w:rFonts w:ascii="Times New Roman" w:hAnsi="Times New Roman" w:eastAsia="仿宋_GB2312"/>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rPr>
            </w:pPr>
          </w:p>
        </w:tc>
        <w:tc>
          <w:tcPr>
            <w:tcW w:w="327" w:type="pct"/>
            <w:vMerge w:val="continue"/>
            <w:shd w:val="clear" w:color="auto" w:fill="auto"/>
            <w:vAlign w:val="center"/>
          </w:tcPr>
          <w:p>
            <w:pPr>
              <w:spacing w:line="584" w:lineRule="exact"/>
              <w:jc w:val="left"/>
              <w:outlineLvl w:val="0"/>
              <w:rPr>
                <w:rFonts w:ascii="Times New Roman" w:hAnsi="Times New Roman" w:eastAsia="仿宋_GB2312"/>
              </w:rPr>
            </w:pPr>
          </w:p>
        </w:tc>
        <w:tc>
          <w:tcPr>
            <w:tcW w:w="327" w:type="pc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合计</w:t>
            </w:r>
          </w:p>
        </w:tc>
        <w:tc>
          <w:tcPr>
            <w:tcW w:w="327" w:type="pc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一般公共预算拨款</w:t>
            </w:r>
          </w:p>
        </w:tc>
        <w:tc>
          <w:tcPr>
            <w:tcW w:w="270" w:type="pc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基金预算拨款</w:t>
            </w:r>
          </w:p>
        </w:tc>
        <w:tc>
          <w:tcPr>
            <w:tcW w:w="317" w:type="pc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财政专户核拨</w:t>
            </w:r>
          </w:p>
        </w:tc>
        <w:tc>
          <w:tcPr>
            <w:tcW w:w="321" w:type="pc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其他来源收入</w:t>
            </w:r>
          </w:p>
        </w:tc>
        <w:tc>
          <w:tcPr>
            <w:tcW w:w="308" w:type="pct"/>
            <w:vMerge w:val="continue"/>
            <w:shd w:val="clear" w:color="auto" w:fill="auto"/>
            <w:vAlign w:val="center"/>
          </w:tcPr>
          <w:p>
            <w:pPr>
              <w:spacing w:line="584" w:lineRule="exact"/>
              <w:jc w:val="left"/>
              <w:outlineLvl w:val="0"/>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3" w:hRule="atLeast"/>
          <w:jc w:val="center"/>
        </w:trPr>
        <w:tc>
          <w:tcPr>
            <w:tcW w:w="285" w:type="pct"/>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合　计</w:t>
            </w:r>
          </w:p>
        </w:tc>
        <w:tc>
          <w:tcPr>
            <w:tcW w:w="606" w:type="pct"/>
            <w:shd w:val="clear" w:color="auto" w:fill="auto"/>
            <w:vAlign w:val="center"/>
          </w:tcPr>
          <w:p>
            <w:pPr>
              <w:spacing w:line="584" w:lineRule="exact"/>
              <w:jc w:val="right"/>
              <w:rPr>
                <w:rFonts w:ascii="Times New Roman" w:hAnsi="Times New Roman" w:eastAsia="仿宋_GB2312"/>
                <w:b/>
              </w:rPr>
            </w:pPr>
          </w:p>
        </w:tc>
        <w:tc>
          <w:tcPr>
            <w:tcW w:w="614" w:type="pct"/>
            <w:shd w:val="clear" w:color="auto" w:fill="auto"/>
            <w:vAlign w:val="center"/>
          </w:tcPr>
          <w:p>
            <w:pPr>
              <w:spacing w:line="584" w:lineRule="exact"/>
              <w:jc w:val="left"/>
              <w:rPr>
                <w:rFonts w:ascii="Times New Roman" w:hAnsi="Times New Roman" w:eastAsia="仿宋_GB2312"/>
                <w:b/>
              </w:rPr>
            </w:pPr>
          </w:p>
        </w:tc>
        <w:tc>
          <w:tcPr>
            <w:tcW w:w="470" w:type="pct"/>
            <w:shd w:val="clear" w:color="auto" w:fill="auto"/>
            <w:vAlign w:val="center"/>
          </w:tcPr>
          <w:p>
            <w:pPr>
              <w:spacing w:line="584" w:lineRule="exact"/>
              <w:jc w:val="left"/>
              <w:rPr>
                <w:rFonts w:ascii="Times New Roman" w:hAnsi="Times New Roman" w:eastAsia="仿宋_GB2312"/>
                <w:b/>
              </w:rPr>
            </w:pPr>
          </w:p>
        </w:tc>
        <w:tc>
          <w:tcPr>
            <w:tcW w:w="246" w:type="pct"/>
            <w:shd w:val="clear" w:color="auto" w:fill="auto"/>
            <w:vAlign w:val="center"/>
          </w:tcPr>
          <w:p>
            <w:pPr>
              <w:spacing w:line="584" w:lineRule="exact"/>
              <w:jc w:val="left"/>
              <w:rPr>
                <w:rFonts w:ascii="Times New Roman" w:hAnsi="Times New Roman" w:eastAsia="仿宋_GB2312"/>
                <w:b/>
              </w:rPr>
            </w:pPr>
          </w:p>
        </w:tc>
        <w:tc>
          <w:tcPr>
            <w:tcW w:w="254" w:type="pct"/>
            <w:shd w:val="clear" w:color="auto" w:fill="auto"/>
            <w:vAlign w:val="center"/>
          </w:tcPr>
          <w:p>
            <w:pPr>
              <w:spacing w:line="584" w:lineRule="exact"/>
              <w:jc w:val="right"/>
              <w:rPr>
                <w:rFonts w:ascii="Times New Roman" w:hAnsi="Times New Roman" w:eastAsia="仿宋_GB2312"/>
                <w:b/>
              </w:rPr>
            </w:pPr>
          </w:p>
        </w:tc>
        <w:tc>
          <w:tcPr>
            <w:tcW w:w="326" w:type="pct"/>
            <w:shd w:val="clear" w:color="auto" w:fill="auto"/>
            <w:vAlign w:val="center"/>
          </w:tcPr>
          <w:p>
            <w:pPr>
              <w:spacing w:line="584" w:lineRule="exact"/>
              <w:jc w:val="right"/>
              <w:rPr>
                <w:rFonts w:ascii="Times New Roman" w:hAnsi="Times New Roman" w:eastAsia="仿宋_GB2312"/>
                <w:b/>
              </w:rPr>
            </w:pPr>
          </w:p>
        </w:tc>
        <w:tc>
          <w:tcPr>
            <w:tcW w:w="327" w:type="pct"/>
            <w:shd w:val="clear" w:color="auto" w:fill="auto"/>
            <w:vAlign w:val="center"/>
          </w:tcPr>
          <w:p>
            <w:pPr>
              <w:spacing w:line="584" w:lineRule="exact"/>
              <w:jc w:val="right"/>
              <w:rPr>
                <w:rFonts w:ascii="Times New Roman" w:hAnsi="Times New Roman" w:eastAsia="仿宋_GB2312"/>
                <w:b/>
              </w:rPr>
            </w:pPr>
          </w:p>
        </w:tc>
        <w:tc>
          <w:tcPr>
            <w:tcW w:w="327" w:type="pct"/>
            <w:shd w:val="clear" w:color="auto" w:fill="auto"/>
            <w:vAlign w:val="center"/>
          </w:tcPr>
          <w:p>
            <w:pPr>
              <w:spacing w:line="584" w:lineRule="exact"/>
              <w:jc w:val="right"/>
              <w:rPr>
                <w:rFonts w:ascii="Times New Roman" w:hAnsi="Times New Roman" w:eastAsia="仿宋_GB2312"/>
                <w:b/>
              </w:rPr>
            </w:pPr>
          </w:p>
        </w:tc>
        <w:tc>
          <w:tcPr>
            <w:tcW w:w="327" w:type="pct"/>
            <w:shd w:val="clear" w:color="auto" w:fill="auto"/>
            <w:vAlign w:val="center"/>
          </w:tcPr>
          <w:p>
            <w:pPr>
              <w:spacing w:line="584" w:lineRule="exact"/>
              <w:jc w:val="right"/>
              <w:rPr>
                <w:rFonts w:ascii="Times New Roman" w:hAnsi="Times New Roman" w:eastAsia="仿宋_GB2312"/>
                <w:b/>
              </w:rPr>
            </w:pPr>
          </w:p>
        </w:tc>
        <w:tc>
          <w:tcPr>
            <w:tcW w:w="270" w:type="pct"/>
            <w:shd w:val="clear" w:color="auto" w:fill="auto"/>
            <w:vAlign w:val="center"/>
          </w:tcPr>
          <w:p>
            <w:pPr>
              <w:spacing w:line="584" w:lineRule="exact"/>
              <w:jc w:val="right"/>
              <w:rPr>
                <w:rFonts w:ascii="Times New Roman" w:hAnsi="Times New Roman" w:eastAsia="仿宋_GB2312"/>
                <w:b/>
              </w:rPr>
            </w:pPr>
          </w:p>
        </w:tc>
        <w:tc>
          <w:tcPr>
            <w:tcW w:w="317" w:type="pct"/>
            <w:shd w:val="clear" w:color="auto" w:fill="auto"/>
            <w:vAlign w:val="center"/>
          </w:tcPr>
          <w:p>
            <w:pPr>
              <w:spacing w:line="584" w:lineRule="exact"/>
              <w:jc w:val="right"/>
              <w:rPr>
                <w:rFonts w:ascii="Times New Roman" w:hAnsi="Times New Roman" w:eastAsia="仿宋_GB2312"/>
                <w:b/>
              </w:rPr>
            </w:pPr>
          </w:p>
        </w:tc>
        <w:tc>
          <w:tcPr>
            <w:tcW w:w="321" w:type="pct"/>
            <w:shd w:val="clear" w:color="auto" w:fill="auto"/>
            <w:vAlign w:val="center"/>
          </w:tcPr>
          <w:p>
            <w:pPr>
              <w:spacing w:line="584" w:lineRule="exact"/>
              <w:jc w:val="right"/>
              <w:rPr>
                <w:rFonts w:ascii="Times New Roman" w:hAnsi="Times New Roman" w:eastAsia="仿宋_GB2312"/>
                <w:b/>
              </w:rPr>
            </w:pPr>
          </w:p>
        </w:tc>
        <w:tc>
          <w:tcPr>
            <w:tcW w:w="308" w:type="pct"/>
            <w:shd w:val="clear" w:color="auto" w:fill="auto"/>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5" w:type="pct"/>
            <w:shd w:val="clear" w:color="auto" w:fill="auto"/>
            <w:vAlign w:val="center"/>
          </w:tcPr>
          <w:p>
            <w:pPr>
              <w:spacing w:line="584" w:lineRule="exact"/>
              <w:jc w:val="center"/>
              <w:rPr>
                <w:rFonts w:ascii="Times New Roman" w:hAnsi="Times New Roman" w:eastAsia="仿宋_GB2312"/>
                <w:b/>
              </w:rPr>
            </w:pPr>
          </w:p>
        </w:tc>
        <w:tc>
          <w:tcPr>
            <w:tcW w:w="606" w:type="pct"/>
            <w:shd w:val="clear" w:color="auto" w:fill="auto"/>
            <w:vAlign w:val="center"/>
          </w:tcPr>
          <w:p>
            <w:pPr>
              <w:spacing w:line="584" w:lineRule="exact"/>
              <w:jc w:val="right"/>
              <w:rPr>
                <w:rFonts w:ascii="Times New Roman" w:hAnsi="Times New Roman" w:eastAsia="仿宋_GB2312"/>
                <w:b/>
              </w:rPr>
            </w:pPr>
          </w:p>
        </w:tc>
        <w:tc>
          <w:tcPr>
            <w:tcW w:w="614" w:type="pct"/>
            <w:shd w:val="clear" w:color="auto" w:fill="auto"/>
            <w:vAlign w:val="center"/>
          </w:tcPr>
          <w:p>
            <w:pPr>
              <w:spacing w:line="584" w:lineRule="exact"/>
              <w:jc w:val="left"/>
              <w:rPr>
                <w:rFonts w:ascii="Times New Roman" w:hAnsi="Times New Roman" w:eastAsia="仿宋_GB2312"/>
                <w:b/>
              </w:rPr>
            </w:pPr>
          </w:p>
        </w:tc>
        <w:tc>
          <w:tcPr>
            <w:tcW w:w="470" w:type="pct"/>
            <w:shd w:val="clear" w:color="auto" w:fill="auto"/>
            <w:vAlign w:val="center"/>
          </w:tcPr>
          <w:p>
            <w:pPr>
              <w:spacing w:line="584" w:lineRule="exact"/>
              <w:jc w:val="left"/>
              <w:rPr>
                <w:rFonts w:ascii="Times New Roman" w:hAnsi="Times New Roman" w:eastAsia="仿宋_GB2312"/>
                <w:b/>
              </w:rPr>
            </w:pPr>
          </w:p>
        </w:tc>
        <w:tc>
          <w:tcPr>
            <w:tcW w:w="246" w:type="pct"/>
            <w:shd w:val="clear" w:color="auto" w:fill="auto"/>
            <w:vAlign w:val="center"/>
          </w:tcPr>
          <w:p>
            <w:pPr>
              <w:spacing w:line="584" w:lineRule="exact"/>
              <w:jc w:val="left"/>
              <w:rPr>
                <w:rFonts w:ascii="Times New Roman" w:hAnsi="Times New Roman" w:eastAsia="仿宋_GB2312"/>
                <w:b/>
              </w:rPr>
            </w:pPr>
          </w:p>
        </w:tc>
        <w:tc>
          <w:tcPr>
            <w:tcW w:w="254" w:type="pct"/>
            <w:shd w:val="clear" w:color="auto" w:fill="auto"/>
            <w:vAlign w:val="center"/>
          </w:tcPr>
          <w:p>
            <w:pPr>
              <w:spacing w:line="584" w:lineRule="exact"/>
              <w:jc w:val="right"/>
              <w:rPr>
                <w:rFonts w:ascii="Times New Roman" w:hAnsi="Times New Roman" w:eastAsia="仿宋_GB2312"/>
                <w:b/>
              </w:rPr>
            </w:pPr>
          </w:p>
        </w:tc>
        <w:tc>
          <w:tcPr>
            <w:tcW w:w="326" w:type="pct"/>
            <w:shd w:val="clear" w:color="auto" w:fill="auto"/>
            <w:vAlign w:val="center"/>
          </w:tcPr>
          <w:p>
            <w:pPr>
              <w:spacing w:line="584" w:lineRule="exact"/>
              <w:jc w:val="right"/>
              <w:rPr>
                <w:rFonts w:ascii="Times New Roman" w:hAnsi="Times New Roman" w:eastAsia="仿宋_GB2312"/>
                <w:b/>
              </w:rPr>
            </w:pPr>
          </w:p>
        </w:tc>
        <w:tc>
          <w:tcPr>
            <w:tcW w:w="327" w:type="pct"/>
            <w:shd w:val="clear" w:color="auto" w:fill="auto"/>
            <w:vAlign w:val="center"/>
          </w:tcPr>
          <w:p>
            <w:pPr>
              <w:spacing w:line="584" w:lineRule="exact"/>
              <w:jc w:val="right"/>
              <w:rPr>
                <w:rFonts w:ascii="Times New Roman" w:hAnsi="Times New Roman" w:eastAsia="仿宋_GB2312"/>
                <w:b/>
              </w:rPr>
            </w:pPr>
          </w:p>
        </w:tc>
        <w:tc>
          <w:tcPr>
            <w:tcW w:w="327" w:type="pct"/>
            <w:shd w:val="clear" w:color="auto" w:fill="auto"/>
            <w:vAlign w:val="center"/>
          </w:tcPr>
          <w:p>
            <w:pPr>
              <w:spacing w:line="584" w:lineRule="exact"/>
              <w:jc w:val="right"/>
              <w:rPr>
                <w:rFonts w:ascii="Times New Roman" w:hAnsi="Times New Roman" w:eastAsia="仿宋_GB2312"/>
                <w:b/>
              </w:rPr>
            </w:pPr>
          </w:p>
        </w:tc>
        <w:tc>
          <w:tcPr>
            <w:tcW w:w="327" w:type="pct"/>
            <w:shd w:val="clear" w:color="auto" w:fill="auto"/>
            <w:vAlign w:val="center"/>
          </w:tcPr>
          <w:p>
            <w:pPr>
              <w:spacing w:line="584" w:lineRule="exact"/>
              <w:jc w:val="right"/>
              <w:rPr>
                <w:rFonts w:ascii="Times New Roman" w:hAnsi="Times New Roman" w:eastAsia="仿宋_GB2312"/>
                <w:b/>
              </w:rPr>
            </w:pPr>
          </w:p>
        </w:tc>
        <w:tc>
          <w:tcPr>
            <w:tcW w:w="270" w:type="pct"/>
            <w:shd w:val="clear" w:color="auto" w:fill="auto"/>
            <w:vAlign w:val="center"/>
          </w:tcPr>
          <w:p>
            <w:pPr>
              <w:spacing w:line="584" w:lineRule="exact"/>
              <w:jc w:val="right"/>
              <w:rPr>
                <w:rFonts w:ascii="Times New Roman" w:hAnsi="Times New Roman" w:eastAsia="仿宋_GB2312"/>
                <w:b/>
              </w:rPr>
            </w:pPr>
          </w:p>
        </w:tc>
        <w:tc>
          <w:tcPr>
            <w:tcW w:w="317" w:type="pct"/>
            <w:shd w:val="clear" w:color="auto" w:fill="auto"/>
            <w:vAlign w:val="center"/>
          </w:tcPr>
          <w:p>
            <w:pPr>
              <w:spacing w:line="584" w:lineRule="exact"/>
              <w:jc w:val="right"/>
              <w:rPr>
                <w:rFonts w:ascii="Times New Roman" w:hAnsi="Times New Roman" w:eastAsia="仿宋_GB2312"/>
                <w:b/>
              </w:rPr>
            </w:pPr>
          </w:p>
        </w:tc>
        <w:tc>
          <w:tcPr>
            <w:tcW w:w="321" w:type="pct"/>
            <w:shd w:val="clear" w:color="auto" w:fill="auto"/>
            <w:vAlign w:val="center"/>
          </w:tcPr>
          <w:p>
            <w:pPr>
              <w:spacing w:line="584" w:lineRule="exact"/>
              <w:jc w:val="right"/>
              <w:rPr>
                <w:rFonts w:ascii="Times New Roman" w:hAnsi="Times New Roman" w:eastAsia="仿宋_GB2312"/>
                <w:b/>
              </w:rPr>
            </w:pPr>
          </w:p>
        </w:tc>
        <w:tc>
          <w:tcPr>
            <w:tcW w:w="308" w:type="pct"/>
            <w:shd w:val="clear" w:color="auto" w:fill="auto"/>
            <w:vAlign w:val="center"/>
          </w:tcPr>
          <w:p>
            <w:pPr>
              <w:spacing w:line="584" w:lineRule="exact"/>
              <w:jc w:val="right"/>
              <w:rPr>
                <w:rFonts w:ascii="Times New Roman" w:hAnsi="Times New Roman" w:eastAsia="仿宋_GB2312"/>
                <w:b/>
              </w:rPr>
            </w:pPr>
          </w:p>
        </w:tc>
      </w:tr>
    </w:tbl>
    <w:p>
      <w:pPr>
        <w:autoSpaceDE w:val="0"/>
        <w:autoSpaceDN w:val="0"/>
        <w:adjustRightInd w:val="0"/>
        <w:jc w:val="left"/>
        <w:rPr>
          <w:rFonts w:ascii="黑体" w:hAnsi="黑体" w:eastAsia="黑体" w:cs="黑体"/>
          <w:sz w:val="32"/>
          <w:szCs w:val="32"/>
        </w:rPr>
      </w:pPr>
    </w:p>
    <w:p>
      <w:pPr>
        <w:autoSpaceDE w:val="0"/>
        <w:autoSpaceDN w:val="0"/>
        <w:adjustRightInd w:val="0"/>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七、国有资产信息</w:t>
      </w:r>
    </w:p>
    <w:p>
      <w:pPr>
        <w:ind w:firstLine="640" w:firstLineChars="200"/>
        <w:outlineLvl w:val="0"/>
        <w:rPr>
          <w:rFonts w:ascii="仿宋" w:hAnsi="仿宋" w:eastAsia="仿宋" w:cs="仿宋"/>
          <w:sz w:val="32"/>
          <w:szCs w:val="24"/>
        </w:rPr>
      </w:pPr>
      <w:r>
        <w:rPr>
          <w:rFonts w:hint="eastAsia" w:ascii="仿宋" w:hAnsi="仿宋" w:eastAsia="仿宋" w:cs="仿宋"/>
          <w:sz w:val="32"/>
          <w:szCs w:val="24"/>
          <w:highlight w:val="none"/>
        </w:rPr>
        <w:t>永清县</w:t>
      </w:r>
      <w:r>
        <w:rPr>
          <w:rFonts w:hint="eastAsia" w:ascii="仿宋" w:hAnsi="仿宋" w:eastAsia="仿宋" w:cs="仿宋"/>
          <w:sz w:val="32"/>
          <w:szCs w:val="24"/>
          <w:highlight w:val="none"/>
          <w:lang w:eastAsia="zh-CN"/>
        </w:rPr>
        <w:t>三圣口乡</w:t>
      </w:r>
      <w:r>
        <w:rPr>
          <w:rFonts w:hint="eastAsia" w:ascii="仿宋" w:hAnsi="仿宋" w:eastAsia="仿宋" w:cs="仿宋"/>
          <w:sz w:val="32"/>
          <w:szCs w:val="24"/>
          <w:highlight w:val="none"/>
        </w:rPr>
        <w:t>人民政府上年末固定资产金额为</w:t>
      </w:r>
      <w:r>
        <w:rPr>
          <w:rFonts w:hint="eastAsia" w:ascii="仿宋" w:hAnsi="仿宋" w:eastAsia="仿宋" w:cs="仿宋"/>
          <w:sz w:val="32"/>
          <w:szCs w:val="24"/>
          <w:highlight w:val="none"/>
          <w:lang w:val="en-US" w:eastAsia="zh-CN"/>
        </w:rPr>
        <w:t>252.77</w:t>
      </w:r>
      <w:r>
        <w:rPr>
          <w:rFonts w:hint="eastAsia" w:ascii="仿宋" w:hAnsi="仿宋" w:eastAsia="仿宋" w:cs="仿宋"/>
          <w:sz w:val="32"/>
          <w:szCs w:val="24"/>
          <w:highlight w:val="none"/>
        </w:rPr>
        <w:t>万元（详见下表），本年度我</w:t>
      </w:r>
      <w:r>
        <w:rPr>
          <w:rFonts w:hint="eastAsia" w:ascii="仿宋" w:hAnsi="仿宋" w:eastAsia="仿宋" w:cs="仿宋"/>
          <w:sz w:val="32"/>
          <w:szCs w:val="24"/>
          <w:highlight w:val="none"/>
          <w:lang w:eastAsia="zh-CN"/>
        </w:rPr>
        <w:t>单位</w:t>
      </w:r>
      <w:r>
        <w:rPr>
          <w:rFonts w:hint="eastAsia" w:ascii="仿宋" w:hAnsi="仿宋" w:eastAsia="仿宋" w:cs="仿宋"/>
          <w:sz w:val="32"/>
          <w:szCs w:val="24"/>
          <w:highlight w:val="none"/>
        </w:rPr>
        <w:t>拟购置固定资产共计0万元</w:t>
      </w:r>
      <w:r>
        <w:rPr>
          <w:rFonts w:hint="eastAsia" w:ascii="仿宋" w:hAnsi="仿宋" w:eastAsia="仿宋" w:cs="仿宋"/>
          <w:sz w:val="32"/>
          <w:szCs w:val="24"/>
        </w:rPr>
        <w:t>。</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1023" w:hRule="atLeast"/>
        </w:trPr>
        <w:tc>
          <w:tcPr>
            <w:tcW w:w="13482" w:type="dxa"/>
            <w:gridSpan w:val="3"/>
            <w:tcBorders>
              <w:top w:val="nil"/>
              <w:left w:val="nil"/>
              <w:bottom w:val="nil"/>
              <w:right w:val="nil"/>
            </w:tcBorders>
            <w:vAlign w:val="center"/>
          </w:tcPr>
          <w:p>
            <w:pPr>
              <w:widowControl/>
              <w:ind w:firstLine="4480" w:firstLineChars="1400"/>
              <w:rPr>
                <w:rFonts w:ascii="宋体" w:cs="宋体"/>
                <w:b/>
                <w:bCs/>
                <w:kern w:val="0"/>
                <w:sz w:val="32"/>
                <w:szCs w:val="32"/>
              </w:rPr>
            </w:pPr>
            <w:r>
              <w:rPr>
                <w:rFonts w:hint="eastAsia" w:ascii="仿宋" w:hAnsi="仿宋" w:eastAsia="仿宋" w:cs="仿宋"/>
                <w:kern w:val="0"/>
                <w:sz w:val="32"/>
                <w:szCs w:val="32"/>
              </w:rPr>
              <w:t>永清县</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仿宋" w:hAnsi="仿宋" w:eastAsia="仿宋" w:cs="仿宋"/>
                <w:kern w:val="0"/>
                <w:sz w:val="22"/>
              </w:rPr>
            </w:pPr>
            <w:r>
              <w:rPr>
                <w:rFonts w:hint="eastAsia" w:ascii="仿宋" w:hAnsi="仿宋" w:eastAsia="仿宋" w:cs="仿宋"/>
                <w:kern w:val="0"/>
                <w:sz w:val="22"/>
              </w:rPr>
              <w:t>编制</w:t>
            </w:r>
            <w:r>
              <w:rPr>
                <w:rFonts w:hint="eastAsia" w:ascii="仿宋" w:hAnsi="仿宋" w:eastAsia="仿宋" w:cs="仿宋"/>
                <w:kern w:val="0"/>
                <w:sz w:val="22"/>
                <w:lang w:eastAsia="zh-CN"/>
              </w:rPr>
              <w:t>单位</w:t>
            </w:r>
            <w:r>
              <w:rPr>
                <w:rFonts w:hint="eastAsia" w:ascii="仿宋" w:hAnsi="仿宋" w:eastAsia="仿宋" w:cs="仿宋"/>
                <w:kern w:val="0"/>
                <w:sz w:val="22"/>
              </w:rPr>
              <w:t>：803</w:t>
            </w:r>
            <w:r>
              <w:rPr>
                <w:rFonts w:hint="eastAsia" w:ascii="仿宋" w:hAnsi="仿宋" w:eastAsia="仿宋" w:cs="仿宋"/>
                <w:kern w:val="0"/>
                <w:sz w:val="22"/>
                <w:lang w:val="en-US" w:eastAsia="zh-CN"/>
              </w:rPr>
              <w:t>001</w:t>
            </w:r>
            <w:r>
              <w:rPr>
                <w:rFonts w:hint="eastAsia" w:ascii="仿宋" w:hAnsi="仿宋" w:eastAsia="仿宋" w:cs="仿宋"/>
                <w:kern w:val="0"/>
                <w:sz w:val="22"/>
              </w:rPr>
              <w:t>永清县</w:t>
            </w:r>
            <w:r>
              <w:rPr>
                <w:rFonts w:hint="eastAsia" w:ascii="仿宋" w:hAnsi="仿宋" w:eastAsia="仿宋" w:cs="仿宋"/>
                <w:kern w:val="0"/>
                <w:sz w:val="22"/>
                <w:lang w:eastAsia="zh-CN"/>
              </w:rPr>
              <w:t>三圣口乡</w:t>
            </w:r>
            <w:r>
              <w:rPr>
                <w:rFonts w:hint="eastAsia" w:ascii="仿宋" w:hAnsi="仿宋" w:eastAsia="仿宋" w:cs="仿宋"/>
                <w:kern w:val="0"/>
                <w:sz w:val="22"/>
              </w:rPr>
              <w:t>人民政府</w:t>
            </w:r>
          </w:p>
        </w:tc>
        <w:tc>
          <w:tcPr>
            <w:tcW w:w="5103" w:type="dxa"/>
            <w:tcBorders>
              <w:top w:val="nil"/>
              <w:left w:val="nil"/>
              <w:bottom w:val="nil"/>
              <w:right w:val="nil"/>
            </w:tcBorders>
            <w:vAlign w:val="center"/>
          </w:tcPr>
          <w:p>
            <w:pPr>
              <w:widowControl/>
              <w:jc w:val="left"/>
              <w:rPr>
                <w:rFonts w:ascii="仿宋" w:hAnsi="仿宋" w:eastAsia="仿宋" w:cs="仿宋"/>
                <w:kern w:val="0"/>
                <w:sz w:val="22"/>
              </w:rPr>
            </w:pPr>
            <w:r>
              <w:rPr>
                <w:rFonts w:hint="eastAsia" w:ascii="仿宋" w:hAnsi="仿宋" w:eastAsia="仿宋" w:cs="仿宋"/>
                <w:kern w:val="0"/>
                <w:sz w:val="22"/>
              </w:rPr>
              <w:t>截止时间：202</w:t>
            </w:r>
            <w:r>
              <w:rPr>
                <w:rFonts w:hint="eastAsia" w:ascii="仿宋" w:hAnsi="仿宋" w:eastAsia="仿宋" w:cs="仿宋"/>
                <w:kern w:val="0"/>
                <w:sz w:val="22"/>
                <w:lang w:val="en-US" w:eastAsia="zh-CN"/>
              </w:rPr>
              <w:t>2</w:t>
            </w:r>
            <w:r>
              <w:rPr>
                <w:rFonts w:hint="eastAsia" w:ascii="仿宋" w:hAnsi="仿宋" w:eastAsia="仿宋" w:cs="仿宋"/>
                <w:kern w:val="0"/>
                <w:sz w:val="22"/>
              </w:rPr>
              <w:t>年</w:t>
            </w:r>
            <w:r>
              <w:rPr>
                <w:rFonts w:ascii="仿宋" w:hAnsi="仿宋" w:eastAsia="仿宋" w:cs="仿宋"/>
                <w:kern w:val="0"/>
                <w:sz w:val="22"/>
              </w:rPr>
              <w:t>12</w:t>
            </w:r>
            <w:r>
              <w:rPr>
                <w:rFonts w:hint="eastAsia" w:ascii="仿宋" w:hAnsi="仿宋" w:eastAsia="仿宋" w:cs="仿宋"/>
                <w:kern w:val="0"/>
                <w:sz w:val="22"/>
              </w:rPr>
              <w:t>月</w:t>
            </w:r>
            <w:r>
              <w:rPr>
                <w:rFonts w:ascii="仿宋" w:hAnsi="仿宋" w:eastAsia="仿宋" w:cs="仿宋"/>
                <w:kern w:val="0"/>
                <w:sz w:val="22"/>
              </w:rPr>
              <w:t>31</w:t>
            </w:r>
            <w:r>
              <w:rPr>
                <w:rFonts w:hint="eastAsia" w:ascii="仿宋" w:hAnsi="仿宋" w:eastAsia="仿宋" w:cs="仿宋"/>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252.77</w:t>
            </w:r>
          </w:p>
        </w:tc>
      </w:tr>
      <w:tr>
        <w:tblPrEx>
          <w:tblCellMar>
            <w:top w:w="0" w:type="dxa"/>
            <w:left w:w="108" w:type="dxa"/>
            <w:bottom w:w="0" w:type="dxa"/>
            <w:right w:w="108" w:type="dxa"/>
          </w:tblCellMar>
        </w:tblPrEx>
        <w:trPr>
          <w:trHeight w:val="387"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p>
        </w:tc>
        <w:tc>
          <w:tcPr>
            <w:tcW w:w="5103" w:type="dxa"/>
            <w:tcBorders>
              <w:top w:val="nil"/>
              <w:left w:val="nil"/>
              <w:bottom w:val="single" w:color="auto" w:sz="4" w:space="0"/>
              <w:right w:val="single" w:color="auto" w:sz="4" w:space="0"/>
            </w:tcBorders>
            <w:vAlign w:val="center"/>
          </w:tcPr>
          <w:p>
            <w:pPr>
              <w:widowControl/>
              <w:jc w:val="both"/>
              <w:rPr>
                <w:rFonts w:ascii="宋体" w:cs="宋体"/>
                <w:kern w:val="0"/>
                <w:sz w:val="22"/>
              </w:rPr>
            </w:pPr>
          </w:p>
        </w:tc>
      </w:tr>
      <w:tr>
        <w:tblPrEx>
          <w:tblCellMar>
            <w:top w:w="0" w:type="dxa"/>
            <w:left w:w="108" w:type="dxa"/>
            <w:bottom w:w="0" w:type="dxa"/>
            <w:right w:w="108" w:type="dxa"/>
          </w:tblCellMar>
        </w:tblPrEx>
        <w:trPr>
          <w:trHeight w:val="43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both"/>
              <w:rPr>
                <w:rFonts w:hint="default" w:ascii="宋体" w:eastAsia="宋体" w:cs="宋体"/>
                <w:kern w:val="0"/>
                <w:sz w:val="22"/>
                <w:lang w:val="en-US" w:eastAsia="zh-CN"/>
              </w:rPr>
            </w:pPr>
          </w:p>
        </w:tc>
        <w:tc>
          <w:tcPr>
            <w:tcW w:w="5103" w:type="dxa"/>
            <w:tcBorders>
              <w:top w:val="nil"/>
              <w:left w:val="nil"/>
              <w:bottom w:val="single" w:color="auto" w:sz="4" w:space="0"/>
              <w:right w:val="single" w:color="auto" w:sz="4" w:space="0"/>
            </w:tcBorders>
            <w:vAlign w:val="center"/>
          </w:tcPr>
          <w:p>
            <w:pPr>
              <w:widowControl/>
              <w:jc w:val="both"/>
              <w:rPr>
                <w:rFonts w:ascii="宋体" w:cs="宋体"/>
                <w:kern w:val="0"/>
                <w:sz w:val="22"/>
              </w:rPr>
            </w:pPr>
          </w:p>
        </w:tc>
      </w:tr>
      <w:tr>
        <w:tblPrEx>
          <w:tblCellMar>
            <w:top w:w="0" w:type="dxa"/>
            <w:left w:w="108" w:type="dxa"/>
            <w:bottom w:w="0" w:type="dxa"/>
            <w:right w:w="108" w:type="dxa"/>
          </w:tblCellMar>
        </w:tblPrEx>
        <w:trPr>
          <w:trHeight w:val="420"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2"/>
                <w:lang w:eastAsia="zh-CN"/>
              </w:rPr>
            </w:pPr>
            <w:r>
              <w:rPr>
                <w:rFonts w:hint="eastAsia" w:ascii="宋体" w:hAnsi="宋体" w:cs="宋体"/>
                <w:kern w:val="0"/>
                <w:sz w:val="22"/>
                <w:lang w:val="en-US" w:eastAsia="zh-CN"/>
              </w:rPr>
              <w:t>3</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r>
              <w:rPr>
                <w:rFonts w:hint="eastAsia" w:ascii="Times New Roman" w:hAnsi="Times New Roman" w:eastAsia="仿宋_GB2312" w:cs="Times New Roman"/>
                <w:sz w:val="22"/>
              </w:rPr>
              <w:t>18</w:t>
            </w:r>
          </w:p>
        </w:tc>
      </w:tr>
      <w:tr>
        <w:tblPrEx>
          <w:tblCellMar>
            <w:top w:w="0" w:type="dxa"/>
            <w:left w:w="108" w:type="dxa"/>
            <w:bottom w:w="0" w:type="dxa"/>
            <w:right w:w="108" w:type="dxa"/>
          </w:tblCellMar>
        </w:tblPrEx>
        <w:trPr>
          <w:trHeight w:val="510"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47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234.77</w:t>
            </w:r>
          </w:p>
        </w:tc>
      </w:tr>
    </w:tbl>
    <w:p>
      <w:pPr>
        <w:rPr>
          <w:rFonts w:ascii="仿宋_GB2312" w:hAnsi="黑体" w:eastAsia="仿宋_GB2312"/>
          <w:color w:val="FF0000"/>
          <w:sz w:val="32"/>
          <w:szCs w:val="32"/>
        </w:rPr>
      </w:pPr>
    </w:p>
    <w:p>
      <w:pPr>
        <w:ind w:firstLine="640"/>
        <w:rPr>
          <w:rFonts w:ascii="黑体" w:hAnsi="黑体" w:eastAsia="黑体" w:cs="黑体"/>
          <w:sz w:val="32"/>
          <w:szCs w:val="32"/>
        </w:rPr>
      </w:pPr>
      <w:r>
        <w:rPr>
          <w:rFonts w:hint="eastAsia" w:ascii="黑体" w:hAnsi="黑体" w:eastAsia="黑体" w:cs="黑体"/>
          <w:sz w:val="32"/>
          <w:szCs w:val="32"/>
        </w:rPr>
        <w:t>八、名词解释</w:t>
      </w:r>
    </w:p>
    <w:p>
      <w:pPr>
        <w:tabs>
          <w:tab w:val="left" w:pos="11490"/>
        </w:tabs>
        <w:ind w:firstLine="643" w:firstLineChars="200"/>
        <w:rPr>
          <w:rFonts w:ascii="仿宋_GB2312" w:eastAsia="仿宋_GB2312"/>
          <w:sz w:val="32"/>
          <w:szCs w:val="32"/>
        </w:rPr>
      </w:pPr>
      <w:r>
        <w:rPr>
          <w:rFonts w:hint="eastAsia" w:ascii="仿宋_GB2312" w:eastAsia="仿宋_GB2312"/>
          <w:b/>
          <w:sz w:val="32"/>
          <w:szCs w:val="32"/>
        </w:rPr>
        <w:t>1、一般公共预算拨款收入：</w:t>
      </w:r>
      <w:r>
        <w:rPr>
          <w:rFonts w:hint="eastAsia" w:ascii="仿宋_GB2312" w:eastAsia="仿宋_GB2312"/>
          <w:sz w:val="32"/>
          <w:szCs w:val="32"/>
        </w:rPr>
        <w:t>指</w:t>
      </w:r>
      <w:r>
        <w:rPr>
          <w:rFonts w:hint="eastAsia" w:ascii="仿宋_GB2312" w:eastAsia="仿宋_GB2312"/>
          <w:sz w:val="32"/>
          <w:szCs w:val="32"/>
          <w:lang w:eastAsia="zh-CN"/>
        </w:rPr>
        <w:t>县</w:t>
      </w:r>
      <w:r>
        <w:rPr>
          <w:rFonts w:hint="eastAsia" w:ascii="仿宋_GB2312" w:eastAsia="仿宋_GB2312"/>
          <w:sz w:val="32"/>
          <w:szCs w:val="32"/>
        </w:rPr>
        <w:t>级级财政当年拨付的资金。</w:t>
      </w:r>
    </w:p>
    <w:p>
      <w:pPr>
        <w:tabs>
          <w:tab w:val="left" w:pos="11490"/>
        </w:tabs>
        <w:ind w:firstLine="643" w:firstLineChars="200"/>
        <w:rPr>
          <w:rFonts w:ascii="仿宋_GB2312" w:eastAsia="仿宋_GB2312"/>
          <w:sz w:val="32"/>
          <w:szCs w:val="32"/>
        </w:rPr>
      </w:pPr>
      <w:r>
        <w:rPr>
          <w:rFonts w:hint="eastAsia" w:ascii="仿宋_GB2312" w:eastAsia="仿宋_GB2312"/>
          <w:b/>
          <w:sz w:val="32"/>
          <w:szCs w:val="32"/>
        </w:rPr>
        <w:t>2、事业收入：</w:t>
      </w:r>
      <w:r>
        <w:rPr>
          <w:rFonts w:hint="eastAsia" w:ascii="仿宋_GB2312" w:eastAsia="仿宋_GB2312"/>
          <w:sz w:val="32"/>
          <w:szCs w:val="32"/>
        </w:rPr>
        <w:t>指事业单位开展专业业务活动及辅助活动所取得的收入。</w:t>
      </w:r>
    </w:p>
    <w:p>
      <w:pPr>
        <w:tabs>
          <w:tab w:val="left" w:pos="11490"/>
        </w:tabs>
        <w:ind w:firstLine="643" w:firstLineChars="200"/>
        <w:rPr>
          <w:rFonts w:ascii="仿宋_GB2312" w:eastAsia="仿宋_GB2312"/>
          <w:b/>
          <w:sz w:val="32"/>
          <w:szCs w:val="32"/>
        </w:rPr>
      </w:pPr>
      <w:r>
        <w:rPr>
          <w:rFonts w:hint="eastAsia" w:ascii="仿宋_GB2312" w:eastAsia="仿宋_GB2312"/>
          <w:b/>
          <w:sz w:val="32"/>
          <w:szCs w:val="32"/>
        </w:rPr>
        <w:t>3、其他收入：</w:t>
      </w:r>
      <w:r>
        <w:rPr>
          <w:rFonts w:hint="eastAsia" w:ascii="仿宋_GB2312" w:eastAsia="仿宋_GB2312"/>
          <w:sz w:val="32"/>
          <w:szCs w:val="32"/>
        </w:rPr>
        <w:t>指除“一般公共预算拨款收入”、“事业收入”等以外的收入。主要是按规定动用的租房收入、存款利息收入等。</w:t>
      </w:r>
    </w:p>
    <w:p>
      <w:pPr>
        <w:tabs>
          <w:tab w:val="left" w:pos="11490"/>
        </w:tabs>
        <w:ind w:firstLine="643" w:firstLineChars="200"/>
        <w:rPr>
          <w:rFonts w:ascii="仿宋_GB2312" w:eastAsia="仿宋_GB2312"/>
          <w:sz w:val="32"/>
          <w:szCs w:val="32"/>
        </w:rPr>
      </w:pPr>
      <w:r>
        <w:rPr>
          <w:rFonts w:hint="eastAsia" w:ascii="仿宋_GB2312" w:eastAsia="仿宋_GB2312"/>
          <w:b/>
          <w:sz w:val="32"/>
          <w:szCs w:val="32"/>
        </w:rPr>
        <w:t>4、基本支出：</w:t>
      </w:r>
      <w:r>
        <w:rPr>
          <w:rFonts w:hint="eastAsia" w:ascii="仿宋_GB2312" w:eastAsia="仿宋_GB2312"/>
          <w:sz w:val="32"/>
          <w:szCs w:val="32"/>
        </w:rPr>
        <w:t>指为保障机构正常运转、完成日常工作任务而发生的人员支出和公用支出。</w:t>
      </w:r>
    </w:p>
    <w:p>
      <w:pPr>
        <w:tabs>
          <w:tab w:val="left" w:pos="11490"/>
        </w:tabs>
        <w:ind w:firstLine="643" w:firstLineChars="200"/>
        <w:rPr>
          <w:rFonts w:ascii="仿宋_GB2312" w:eastAsia="仿宋_GB2312"/>
          <w:sz w:val="32"/>
          <w:szCs w:val="32"/>
        </w:rPr>
      </w:pPr>
      <w:r>
        <w:rPr>
          <w:rFonts w:hint="eastAsia" w:ascii="仿宋_GB2312" w:eastAsia="仿宋_GB2312"/>
          <w:b/>
          <w:sz w:val="32"/>
          <w:szCs w:val="32"/>
        </w:rPr>
        <w:t>5、项目支出：</w:t>
      </w:r>
      <w:r>
        <w:rPr>
          <w:rFonts w:hint="eastAsia" w:ascii="仿宋_GB2312" w:eastAsia="仿宋_GB2312"/>
          <w:sz w:val="32"/>
          <w:szCs w:val="32"/>
        </w:rPr>
        <w:t>指在基本支出之外为完成特定行政任务和事业发展目标所发生的支出。</w:t>
      </w:r>
    </w:p>
    <w:p>
      <w:pPr>
        <w:tabs>
          <w:tab w:val="left" w:pos="11490"/>
        </w:tabs>
        <w:ind w:firstLine="643" w:firstLineChars="200"/>
        <w:rPr>
          <w:rFonts w:ascii="仿宋_GB2312" w:eastAsia="仿宋_GB2312"/>
          <w:sz w:val="32"/>
          <w:szCs w:val="32"/>
        </w:rPr>
      </w:pPr>
      <w:r>
        <w:rPr>
          <w:rFonts w:hint="eastAsia" w:ascii="仿宋_GB2312" w:eastAsia="仿宋_GB2312"/>
          <w:b/>
          <w:sz w:val="32"/>
          <w:szCs w:val="32"/>
        </w:rPr>
        <w:t>6、上缴上级支出：</w:t>
      </w:r>
      <w:r>
        <w:rPr>
          <w:rFonts w:hint="eastAsia" w:ascii="仿宋_GB2312" w:eastAsia="仿宋_GB2312"/>
          <w:sz w:val="32"/>
          <w:szCs w:val="32"/>
        </w:rPr>
        <w:t>指下级单位上缴上级的支出。</w:t>
      </w:r>
    </w:p>
    <w:p>
      <w:pPr>
        <w:tabs>
          <w:tab w:val="left" w:pos="11490"/>
        </w:tabs>
        <w:ind w:firstLine="643" w:firstLineChars="200"/>
        <w:rPr>
          <w:rFonts w:ascii="仿宋_GB2312" w:eastAsia="仿宋_GB2312"/>
          <w:sz w:val="32"/>
          <w:szCs w:val="32"/>
        </w:rPr>
      </w:pPr>
      <w:r>
        <w:rPr>
          <w:rFonts w:hint="eastAsia" w:ascii="仿宋_GB2312" w:eastAsia="仿宋_GB2312"/>
          <w:b/>
          <w:sz w:val="32"/>
          <w:szCs w:val="32"/>
        </w:rPr>
        <w:t>7、“三公”经费：</w:t>
      </w:r>
      <w:r>
        <w:rPr>
          <w:rFonts w:hint="eastAsia" w:ascii="仿宋_GB2312" w:eastAsia="仿宋_GB2312"/>
          <w:sz w:val="32"/>
          <w:szCs w:val="32"/>
        </w:rPr>
        <w:t>纳入</w:t>
      </w:r>
      <w:r>
        <w:rPr>
          <w:rFonts w:hint="eastAsia" w:ascii="仿宋_GB2312" w:eastAsia="仿宋_GB2312"/>
          <w:sz w:val="32"/>
          <w:szCs w:val="32"/>
          <w:lang w:eastAsia="zh-CN"/>
        </w:rPr>
        <w:t>县</w:t>
      </w:r>
      <w:r>
        <w:rPr>
          <w:rFonts w:hint="eastAsia" w:ascii="仿宋_GB2312" w:eastAsia="仿宋_GB2312"/>
          <w:sz w:val="32"/>
          <w:szCs w:val="32"/>
        </w:rPr>
        <w:t>级级财政预算管理的“三公”经费，是指</w:t>
      </w:r>
      <w:r>
        <w:rPr>
          <w:rFonts w:hint="eastAsia" w:ascii="仿宋_GB2312" w:eastAsia="仿宋_GB2312"/>
          <w:sz w:val="32"/>
          <w:szCs w:val="32"/>
          <w:lang w:eastAsia="zh-CN"/>
        </w:rPr>
        <w:t>县</w:t>
      </w:r>
      <w:bookmarkStart w:id="3" w:name="_GoBack"/>
      <w:bookmarkEnd w:id="3"/>
      <w:r>
        <w:rPr>
          <w:rFonts w:hint="eastAsia" w:ascii="仿宋_GB2312" w:eastAsia="仿宋_GB2312"/>
          <w:sz w:val="32"/>
          <w:szCs w:val="32"/>
        </w:rPr>
        <w:t>级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eastAsia="仿宋_GB2312"/>
          <w:sz w:val="32"/>
          <w:szCs w:val="32"/>
        </w:rPr>
      </w:pPr>
      <w:r>
        <w:rPr>
          <w:rFonts w:hint="eastAsia" w:ascii="仿宋_GB2312" w:eastAsia="仿宋_GB2312"/>
          <w:b/>
          <w:sz w:val="32"/>
          <w:szCs w:val="32"/>
        </w:rPr>
        <w:t>8、机关运行费：</w:t>
      </w:r>
      <w:r>
        <w:rPr>
          <w:rFonts w:hint="eastAsia" w:ascii="仿宋_GB2312"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_GB2312" w:eastAsia="仿宋_GB2312"/>
          <w:sz w:val="32"/>
          <w:szCs w:val="32"/>
        </w:rPr>
      </w:pPr>
      <w:r>
        <w:rPr>
          <w:rFonts w:hint="eastAsia" w:ascii="仿宋_GB2312" w:eastAsia="仿宋_GB2312"/>
          <w:b/>
          <w:sz w:val="32"/>
          <w:szCs w:val="32"/>
        </w:rPr>
        <w:t>9、上年结转：</w:t>
      </w:r>
      <w:r>
        <w:rPr>
          <w:rFonts w:hint="eastAsia" w:ascii="仿宋_GB2312" w:eastAsia="仿宋_GB2312"/>
          <w:sz w:val="32"/>
          <w:szCs w:val="32"/>
        </w:rPr>
        <w:t>指以前年度尚未完成、结转到本年仍按原规定用途继续使用的资金。</w:t>
      </w:r>
    </w:p>
    <w:p>
      <w:pPr>
        <w:tabs>
          <w:tab w:val="left" w:pos="11490"/>
        </w:tabs>
        <w:ind w:firstLine="643" w:firstLineChars="200"/>
        <w:rPr>
          <w:rFonts w:ascii="仿宋_GB2312" w:eastAsia="仿宋_GB2312"/>
          <w:sz w:val="32"/>
          <w:szCs w:val="32"/>
        </w:rPr>
      </w:pPr>
      <w:r>
        <w:rPr>
          <w:rFonts w:hint="eastAsia" w:ascii="仿宋_GB2312" w:eastAsia="仿宋_GB2312"/>
          <w:b/>
          <w:sz w:val="32"/>
          <w:szCs w:val="32"/>
        </w:rPr>
        <w:t>10、事业单位经营支出：</w:t>
      </w:r>
      <w:r>
        <w:rPr>
          <w:rFonts w:hint="eastAsia" w:ascii="仿宋_GB2312" w:eastAsia="仿宋_GB2312"/>
          <w:sz w:val="32"/>
          <w:szCs w:val="32"/>
        </w:rPr>
        <w:t>指事业单位在专业业务活动及其辅助活动之外开展非独立核算经营活动发生的支出。</w:t>
      </w:r>
    </w:p>
    <w:p>
      <w:pPr>
        <w:ind w:firstLine="640"/>
        <w:rPr>
          <w:rFonts w:ascii="黑体" w:hAnsi="黑体" w:eastAsia="黑体" w:cs="黑体"/>
          <w:sz w:val="32"/>
          <w:szCs w:val="32"/>
        </w:rPr>
      </w:pPr>
      <w:r>
        <w:rPr>
          <w:rFonts w:hint="eastAsia" w:ascii="黑体" w:hAnsi="黑体" w:eastAsia="黑体" w:cs="黑体"/>
          <w:sz w:val="32"/>
          <w:szCs w:val="32"/>
        </w:rPr>
        <w:t>九、其它需要说明的事项</w:t>
      </w:r>
    </w:p>
    <w:p>
      <w:pPr>
        <w:ind w:firstLine="640" w:firstLineChars="200"/>
        <w:rPr>
          <w:rFonts w:ascii="楷体" w:hAnsi="楷体" w:eastAsia="楷体" w:cs="楷体"/>
          <w:b/>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无其它需要说明的事项。</w:t>
      </w:r>
    </w:p>
    <w:sectPr>
      <w:head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黑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fldChar w:fldCharType="begin"/>
    </w:r>
    <w:r>
      <w:rPr>
        <w:rStyle w:val="12"/>
      </w:rPr>
      <w:instrText xml:space="preserve"> PAGE </w:instrText>
    </w:r>
    <w:r>
      <w:fldChar w:fldCharType="separate"/>
    </w:r>
    <w:r>
      <w:rPr>
        <w:rStyle w:val="12"/>
      </w:rPr>
      <w:t>34</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OTEyODg5NGU4M2Y0NjVmNWQ0Njc1MDU4NGI0YmQifQ=="/>
  </w:docVars>
  <w:rsids>
    <w:rsidRoot w:val="00F66032"/>
    <w:rsid w:val="00013928"/>
    <w:rsid w:val="000148F1"/>
    <w:rsid w:val="00037AF6"/>
    <w:rsid w:val="00045A61"/>
    <w:rsid w:val="000644EC"/>
    <w:rsid w:val="00075D5F"/>
    <w:rsid w:val="000770F6"/>
    <w:rsid w:val="0007785A"/>
    <w:rsid w:val="000A0B61"/>
    <w:rsid w:val="000A33E3"/>
    <w:rsid w:val="000C3A19"/>
    <w:rsid w:val="000C48CD"/>
    <w:rsid w:val="001043A4"/>
    <w:rsid w:val="00104998"/>
    <w:rsid w:val="00121418"/>
    <w:rsid w:val="001245BB"/>
    <w:rsid w:val="00124BDB"/>
    <w:rsid w:val="00132600"/>
    <w:rsid w:val="001352AF"/>
    <w:rsid w:val="0018479D"/>
    <w:rsid w:val="001D1E43"/>
    <w:rsid w:val="001F761D"/>
    <w:rsid w:val="0024105A"/>
    <w:rsid w:val="00241FD4"/>
    <w:rsid w:val="00251B12"/>
    <w:rsid w:val="002645FB"/>
    <w:rsid w:val="00296113"/>
    <w:rsid w:val="002A591B"/>
    <w:rsid w:val="002C53DD"/>
    <w:rsid w:val="002F3E58"/>
    <w:rsid w:val="0030542C"/>
    <w:rsid w:val="0030786C"/>
    <w:rsid w:val="00311B7A"/>
    <w:rsid w:val="003A42AA"/>
    <w:rsid w:val="003A4525"/>
    <w:rsid w:val="003B35A0"/>
    <w:rsid w:val="003E1A7F"/>
    <w:rsid w:val="003F4369"/>
    <w:rsid w:val="003F6ED1"/>
    <w:rsid w:val="004031C2"/>
    <w:rsid w:val="00417795"/>
    <w:rsid w:val="00442709"/>
    <w:rsid w:val="00442A6E"/>
    <w:rsid w:val="00451871"/>
    <w:rsid w:val="0046749E"/>
    <w:rsid w:val="00472923"/>
    <w:rsid w:val="004A7785"/>
    <w:rsid w:val="004B21B0"/>
    <w:rsid w:val="004B79B5"/>
    <w:rsid w:val="004E3066"/>
    <w:rsid w:val="004E74CD"/>
    <w:rsid w:val="00503846"/>
    <w:rsid w:val="00526982"/>
    <w:rsid w:val="00526B10"/>
    <w:rsid w:val="0054665B"/>
    <w:rsid w:val="0055572B"/>
    <w:rsid w:val="0055671F"/>
    <w:rsid w:val="005574D8"/>
    <w:rsid w:val="00560EC8"/>
    <w:rsid w:val="00570523"/>
    <w:rsid w:val="00573562"/>
    <w:rsid w:val="005B576F"/>
    <w:rsid w:val="005C0C90"/>
    <w:rsid w:val="005D43F6"/>
    <w:rsid w:val="005D555C"/>
    <w:rsid w:val="005D72FA"/>
    <w:rsid w:val="00614A29"/>
    <w:rsid w:val="00624427"/>
    <w:rsid w:val="0065661B"/>
    <w:rsid w:val="00656A7F"/>
    <w:rsid w:val="00665DEF"/>
    <w:rsid w:val="00671362"/>
    <w:rsid w:val="0068052B"/>
    <w:rsid w:val="006A3C08"/>
    <w:rsid w:val="00706BD1"/>
    <w:rsid w:val="00706C12"/>
    <w:rsid w:val="0075393C"/>
    <w:rsid w:val="00776C08"/>
    <w:rsid w:val="00781929"/>
    <w:rsid w:val="007B4EE0"/>
    <w:rsid w:val="007E1DA8"/>
    <w:rsid w:val="007E2633"/>
    <w:rsid w:val="007F6C26"/>
    <w:rsid w:val="00812790"/>
    <w:rsid w:val="008334AE"/>
    <w:rsid w:val="00836FED"/>
    <w:rsid w:val="00845CD2"/>
    <w:rsid w:val="008502D8"/>
    <w:rsid w:val="00852B0D"/>
    <w:rsid w:val="008676C8"/>
    <w:rsid w:val="00881692"/>
    <w:rsid w:val="00893F3F"/>
    <w:rsid w:val="00894310"/>
    <w:rsid w:val="008B0098"/>
    <w:rsid w:val="008B3CC5"/>
    <w:rsid w:val="008C2BAF"/>
    <w:rsid w:val="008E4261"/>
    <w:rsid w:val="008F4662"/>
    <w:rsid w:val="00905D08"/>
    <w:rsid w:val="00925753"/>
    <w:rsid w:val="00951696"/>
    <w:rsid w:val="00966C5C"/>
    <w:rsid w:val="00973104"/>
    <w:rsid w:val="00994245"/>
    <w:rsid w:val="009A2E76"/>
    <w:rsid w:val="009A5BD1"/>
    <w:rsid w:val="009E2D26"/>
    <w:rsid w:val="009F4C1B"/>
    <w:rsid w:val="00A06143"/>
    <w:rsid w:val="00A106FA"/>
    <w:rsid w:val="00A421CD"/>
    <w:rsid w:val="00A72D2E"/>
    <w:rsid w:val="00A911E7"/>
    <w:rsid w:val="00A939D9"/>
    <w:rsid w:val="00AC6D0D"/>
    <w:rsid w:val="00AD4C0B"/>
    <w:rsid w:val="00B05077"/>
    <w:rsid w:val="00B06A1D"/>
    <w:rsid w:val="00B20712"/>
    <w:rsid w:val="00B22C6F"/>
    <w:rsid w:val="00B43238"/>
    <w:rsid w:val="00B75216"/>
    <w:rsid w:val="00B76254"/>
    <w:rsid w:val="00B8136C"/>
    <w:rsid w:val="00B91D52"/>
    <w:rsid w:val="00BA1ACD"/>
    <w:rsid w:val="00BA2A09"/>
    <w:rsid w:val="00BF2861"/>
    <w:rsid w:val="00BF4DB2"/>
    <w:rsid w:val="00C913FF"/>
    <w:rsid w:val="00CA7176"/>
    <w:rsid w:val="00CB3AB3"/>
    <w:rsid w:val="00CC43FE"/>
    <w:rsid w:val="00CD2773"/>
    <w:rsid w:val="00CE143B"/>
    <w:rsid w:val="00CE2A66"/>
    <w:rsid w:val="00D027BB"/>
    <w:rsid w:val="00D158B6"/>
    <w:rsid w:val="00D212C7"/>
    <w:rsid w:val="00D900E6"/>
    <w:rsid w:val="00D9708D"/>
    <w:rsid w:val="00DB0132"/>
    <w:rsid w:val="00DB2963"/>
    <w:rsid w:val="00DC2FBE"/>
    <w:rsid w:val="00DC7A82"/>
    <w:rsid w:val="00DD02FD"/>
    <w:rsid w:val="00DD08DD"/>
    <w:rsid w:val="00DD6B0F"/>
    <w:rsid w:val="00E14843"/>
    <w:rsid w:val="00E167C7"/>
    <w:rsid w:val="00E4508D"/>
    <w:rsid w:val="00E62488"/>
    <w:rsid w:val="00E77F2A"/>
    <w:rsid w:val="00E81411"/>
    <w:rsid w:val="00E937C2"/>
    <w:rsid w:val="00EA389F"/>
    <w:rsid w:val="00EA71B5"/>
    <w:rsid w:val="00EC47F6"/>
    <w:rsid w:val="00ED40A5"/>
    <w:rsid w:val="00EE1B43"/>
    <w:rsid w:val="00EF2371"/>
    <w:rsid w:val="00F048BB"/>
    <w:rsid w:val="00F153EF"/>
    <w:rsid w:val="00F4387A"/>
    <w:rsid w:val="00F55FB6"/>
    <w:rsid w:val="00F66032"/>
    <w:rsid w:val="00F958C2"/>
    <w:rsid w:val="00FB0CFB"/>
    <w:rsid w:val="00FB1C78"/>
    <w:rsid w:val="021C3720"/>
    <w:rsid w:val="036F6B27"/>
    <w:rsid w:val="03FE5166"/>
    <w:rsid w:val="04194CE4"/>
    <w:rsid w:val="04E11CA6"/>
    <w:rsid w:val="056B1570"/>
    <w:rsid w:val="06E96BF0"/>
    <w:rsid w:val="088E5CA1"/>
    <w:rsid w:val="08986B20"/>
    <w:rsid w:val="097C1F9D"/>
    <w:rsid w:val="0A814328"/>
    <w:rsid w:val="0BCD7251"/>
    <w:rsid w:val="0C5252AA"/>
    <w:rsid w:val="0D0429D6"/>
    <w:rsid w:val="0D4C1C87"/>
    <w:rsid w:val="0DAD5220"/>
    <w:rsid w:val="0F6258DA"/>
    <w:rsid w:val="10645539"/>
    <w:rsid w:val="111B790E"/>
    <w:rsid w:val="116577BB"/>
    <w:rsid w:val="11AA3420"/>
    <w:rsid w:val="12773B84"/>
    <w:rsid w:val="13DF1AA7"/>
    <w:rsid w:val="14860174"/>
    <w:rsid w:val="157D50D3"/>
    <w:rsid w:val="166404F2"/>
    <w:rsid w:val="1709264D"/>
    <w:rsid w:val="170A0BE8"/>
    <w:rsid w:val="19203B13"/>
    <w:rsid w:val="192257BA"/>
    <w:rsid w:val="1A67467D"/>
    <w:rsid w:val="1AD40ABE"/>
    <w:rsid w:val="1C107760"/>
    <w:rsid w:val="1C92691C"/>
    <w:rsid w:val="1CC40ED2"/>
    <w:rsid w:val="1CCB7AC2"/>
    <w:rsid w:val="1D4666F2"/>
    <w:rsid w:val="1D90796E"/>
    <w:rsid w:val="1FC009DE"/>
    <w:rsid w:val="20404ACC"/>
    <w:rsid w:val="206007F9"/>
    <w:rsid w:val="21B437F7"/>
    <w:rsid w:val="22030114"/>
    <w:rsid w:val="220A72BF"/>
    <w:rsid w:val="22573150"/>
    <w:rsid w:val="23E94E27"/>
    <w:rsid w:val="244901A2"/>
    <w:rsid w:val="24D740DD"/>
    <w:rsid w:val="260C30AB"/>
    <w:rsid w:val="26CF7759"/>
    <w:rsid w:val="278C389C"/>
    <w:rsid w:val="28435BB6"/>
    <w:rsid w:val="291C47AB"/>
    <w:rsid w:val="2943496F"/>
    <w:rsid w:val="29C423BB"/>
    <w:rsid w:val="2A007C29"/>
    <w:rsid w:val="2AF7727E"/>
    <w:rsid w:val="2B1374C0"/>
    <w:rsid w:val="2B285689"/>
    <w:rsid w:val="2BC251C7"/>
    <w:rsid w:val="2BD704F6"/>
    <w:rsid w:val="2DDE64D3"/>
    <w:rsid w:val="2E093550"/>
    <w:rsid w:val="2EA80FBB"/>
    <w:rsid w:val="2FEF5E38"/>
    <w:rsid w:val="30856761"/>
    <w:rsid w:val="30D2097E"/>
    <w:rsid w:val="315F15C6"/>
    <w:rsid w:val="32080C62"/>
    <w:rsid w:val="329D070B"/>
    <w:rsid w:val="34C53F49"/>
    <w:rsid w:val="35970344"/>
    <w:rsid w:val="35B61C3C"/>
    <w:rsid w:val="35BA15D4"/>
    <w:rsid w:val="37152F66"/>
    <w:rsid w:val="3A176FF5"/>
    <w:rsid w:val="3A824DB6"/>
    <w:rsid w:val="3AF148F5"/>
    <w:rsid w:val="3BBE5236"/>
    <w:rsid w:val="3C076FCC"/>
    <w:rsid w:val="3CD0751D"/>
    <w:rsid w:val="3D3A7935"/>
    <w:rsid w:val="3E3A7756"/>
    <w:rsid w:val="3EF969A5"/>
    <w:rsid w:val="4088090E"/>
    <w:rsid w:val="41592055"/>
    <w:rsid w:val="41E719A3"/>
    <w:rsid w:val="425A5C8B"/>
    <w:rsid w:val="43544E16"/>
    <w:rsid w:val="43B51C2E"/>
    <w:rsid w:val="43FC1B46"/>
    <w:rsid w:val="45351BC4"/>
    <w:rsid w:val="462F3918"/>
    <w:rsid w:val="46EB5A91"/>
    <w:rsid w:val="49680D6D"/>
    <w:rsid w:val="49C23D3B"/>
    <w:rsid w:val="4A0D21C2"/>
    <w:rsid w:val="4A4B73DB"/>
    <w:rsid w:val="4A517DD3"/>
    <w:rsid w:val="4A5857DA"/>
    <w:rsid w:val="4A8A21E8"/>
    <w:rsid w:val="4BCD39B7"/>
    <w:rsid w:val="4C0F3FD0"/>
    <w:rsid w:val="4C596CE7"/>
    <w:rsid w:val="4CD9638C"/>
    <w:rsid w:val="4CF136D5"/>
    <w:rsid w:val="4D090A1F"/>
    <w:rsid w:val="4D754306"/>
    <w:rsid w:val="4DAC2E29"/>
    <w:rsid w:val="4DC374A1"/>
    <w:rsid w:val="4E98064A"/>
    <w:rsid w:val="4EFA4EA2"/>
    <w:rsid w:val="4F5A37B4"/>
    <w:rsid w:val="4FA61264"/>
    <w:rsid w:val="50D136B7"/>
    <w:rsid w:val="514B3B6D"/>
    <w:rsid w:val="54E32011"/>
    <w:rsid w:val="558060DC"/>
    <w:rsid w:val="55B6370E"/>
    <w:rsid w:val="55C1525B"/>
    <w:rsid w:val="574B1CC0"/>
    <w:rsid w:val="586B07E0"/>
    <w:rsid w:val="586C7AA2"/>
    <w:rsid w:val="59E06FAB"/>
    <w:rsid w:val="5A94175C"/>
    <w:rsid w:val="5B0A0678"/>
    <w:rsid w:val="5B704106"/>
    <w:rsid w:val="5B8C7091"/>
    <w:rsid w:val="5BC16969"/>
    <w:rsid w:val="5C960315"/>
    <w:rsid w:val="5E731E2D"/>
    <w:rsid w:val="5EC57838"/>
    <w:rsid w:val="5ECA7297"/>
    <w:rsid w:val="5F27742B"/>
    <w:rsid w:val="5FBF63F2"/>
    <w:rsid w:val="60152602"/>
    <w:rsid w:val="604C0EF7"/>
    <w:rsid w:val="6065020A"/>
    <w:rsid w:val="60793CB6"/>
    <w:rsid w:val="61537DF7"/>
    <w:rsid w:val="622F287E"/>
    <w:rsid w:val="637C0428"/>
    <w:rsid w:val="637E1445"/>
    <w:rsid w:val="64970BAF"/>
    <w:rsid w:val="66CE6471"/>
    <w:rsid w:val="688F03A0"/>
    <w:rsid w:val="691D3964"/>
    <w:rsid w:val="69D32689"/>
    <w:rsid w:val="69EC1222"/>
    <w:rsid w:val="6B132266"/>
    <w:rsid w:val="6B2D75F3"/>
    <w:rsid w:val="6B647EB4"/>
    <w:rsid w:val="6C5A6AED"/>
    <w:rsid w:val="6CC91B21"/>
    <w:rsid w:val="6CCC6EA7"/>
    <w:rsid w:val="6D7E290C"/>
    <w:rsid w:val="6DB427D1"/>
    <w:rsid w:val="6DBB2EC6"/>
    <w:rsid w:val="6E405E13"/>
    <w:rsid w:val="6EF50143"/>
    <w:rsid w:val="6F0D2199"/>
    <w:rsid w:val="6F2140F2"/>
    <w:rsid w:val="6F40431D"/>
    <w:rsid w:val="6F883C1C"/>
    <w:rsid w:val="6FD615D0"/>
    <w:rsid w:val="700C2087"/>
    <w:rsid w:val="70647B12"/>
    <w:rsid w:val="72B32774"/>
    <w:rsid w:val="72EB6107"/>
    <w:rsid w:val="73743DAC"/>
    <w:rsid w:val="73774085"/>
    <w:rsid w:val="73F624DA"/>
    <w:rsid w:val="73F751C6"/>
    <w:rsid w:val="74613A82"/>
    <w:rsid w:val="74BA06CD"/>
    <w:rsid w:val="74FD05BA"/>
    <w:rsid w:val="75376369"/>
    <w:rsid w:val="77304E1F"/>
    <w:rsid w:val="77971A93"/>
    <w:rsid w:val="7A574C10"/>
    <w:rsid w:val="7BE13D9C"/>
    <w:rsid w:val="7C4E5B9F"/>
    <w:rsid w:val="7C8E41ED"/>
    <w:rsid w:val="7CDD03EE"/>
    <w:rsid w:val="7D450D50"/>
    <w:rsid w:val="7DBA7EE6"/>
    <w:rsid w:val="7DE50DFB"/>
    <w:rsid w:val="7E8A7187"/>
    <w:rsid w:val="7F511C2E"/>
    <w:rsid w:val="7F6000C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ocked="1"/>
    <w:lsdException w:qFormat="1"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locked/>
    <w:uiPriority w:val="0"/>
    <w:pPr>
      <w:widowControl/>
      <w:ind w:left="480"/>
      <w:jc w:val="left"/>
    </w:pPr>
    <w:rPr>
      <w:rFonts w:ascii="Times New Roman" w:hAnsi="Times New Roman" w:eastAsia="Times New Roman" w:cstheme="minorBidi"/>
      <w:kern w:val="0"/>
      <w:sz w:val="24"/>
      <w:szCs w:val="24"/>
      <w:lang w:eastAsia="uk-UA"/>
    </w:rPr>
  </w:style>
  <w:style w:type="paragraph" w:styleId="3">
    <w:name w:val="Balloon Text"/>
    <w:basedOn w:val="1"/>
    <w:link w:val="16"/>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qFormat/>
    <w:uiPriority w:val="0"/>
    <w:rPr>
      <w:rFonts w:ascii="Times New Roman" w:hAnsi="Times New Roman"/>
      <w:szCs w:val="24"/>
    </w:rPr>
  </w:style>
  <w:style w:type="paragraph" w:styleId="7">
    <w:name w:val="toc 4"/>
    <w:basedOn w:val="1"/>
    <w:next w:val="1"/>
    <w:qFormat/>
    <w:locked/>
    <w:uiPriority w:val="0"/>
    <w:pPr>
      <w:widowControl/>
      <w:ind w:left="720"/>
      <w:jc w:val="left"/>
    </w:pPr>
    <w:rPr>
      <w:rFonts w:ascii="Times New Roman" w:hAnsi="Times New Roman" w:eastAsia="Times New Roman" w:cstheme="minorBidi"/>
      <w:kern w:val="0"/>
      <w:sz w:val="24"/>
      <w:szCs w:val="24"/>
      <w:lang w:eastAsia="uk-UA"/>
    </w:rPr>
  </w:style>
  <w:style w:type="paragraph" w:styleId="8">
    <w:name w:val="toc 2"/>
    <w:basedOn w:val="1"/>
    <w:next w:val="1"/>
    <w:qFormat/>
    <w:uiPriority w:val="0"/>
    <w:pPr>
      <w:ind w:left="420" w:leftChars="200"/>
    </w:pPr>
    <w:rPr>
      <w:rFonts w:ascii="Times New Roman" w:hAnsi="Times New Roman"/>
      <w:szCs w:val="24"/>
    </w:rPr>
  </w:style>
  <w:style w:type="table" w:styleId="10">
    <w:name w:val="Table Grid"/>
    <w:basedOn w:val="9"/>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unhideWhenUsed/>
    <w:qFormat/>
    <w:uiPriority w:val="0"/>
  </w:style>
  <w:style w:type="character" w:customStyle="1" w:styleId="13">
    <w:name w:val="页脚 Char"/>
    <w:basedOn w:val="11"/>
    <w:link w:val="4"/>
    <w:qFormat/>
    <w:locked/>
    <w:uiPriority w:val="99"/>
    <w:rPr>
      <w:rFonts w:ascii="Times New Roman" w:hAnsi="Times New Roman" w:eastAsia="宋体" w:cs="Times New Roman"/>
      <w:sz w:val="18"/>
      <w:szCs w:val="18"/>
    </w:rPr>
  </w:style>
  <w:style w:type="character" w:customStyle="1" w:styleId="14">
    <w:name w:val="页眉 Char"/>
    <w:basedOn w:val="11"/>
    <w:link w:val="5"/>
    <w:qFormat/>
    <w:locked/>
    <w:uiPriority w:val="99"/>
    <w:rPr>
      <w:rFonts w:ascii="Times New Roman" w:hAnsi="Times New Roman" w:eastAsia="宋体" w:cs="Times New Roman"/>
      <w:sz w:val="18"/>
      <w:szCs w:val="18"/>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批注框文本 Char"/>
    <w:basedOn w:val="11"/>
    <w:link w:val="3"/>
    <w:semiHidden/>
    <w:qFormat/>
    <w:uiPriority w:val="99"/>
    <w:rPr>
      <w:kern w:val="2"/>
      <w:sz w:val="18"/>
      <w:szCs w:val="18"/>
    </w:rPr>
  </w:style>
  <w:style w:type="paragraph" w:customStyle="1" w:styleId="17">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18">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19">
    <w:name w:val="单元格样式22"/>
    <w:basedOn w:val="1"/>
    <w:qFormat/>
    <w:uiPriority w:val="0"/>
    <w:pPr>
      <w:widowControl/>
      <w:jc w:val="right"/>
    </w:pPr>
    <w:rPr>
      <w:rFonts w:ascii="方正小标宋_GBK" w:hAnsi="方正小标宋_GBK" w:eastAsia="方正小标宋_GBK" w:cs="方正小标宋_GBK"/>
      <w:kern w:val="0"/>
      <w:sz w:val="24"/>
      <w:szCs w:val="24"/>
      <w:lang w:eastAsia="uk-UA"/>
    </w:rPr>
  </w:style>
  <w:style w:type="paragraph" w:customStyle="1" w:styleId="20">
    <w:name w:val="单元格样式21"/>
    <w:basedOn w:val="1"/>
    <w:qFormat/>
    <w:uiPriority w:val="0"/>
    <w:pPr>
      <w:widowControl/>
      <w:jc w:val="center"/>
    </w:pPr>
    <w:rPr>
      <w:rFonts w:ascii="方正小标宋_GBK" w:hAnsi="方正小标宋_GBK" w:eastAsia="方正小标宋_GBK" w:cs="方正小标宋_GBK"/>
      <w:kern w:val="0"/>
      <w:sz w:val="24"/>
      <w:szCs w:val="24"/>
      <w:lang w:eastAsia="uk-UA"/>
    </w:rPr>
  </w:style>
  <w:style w:type="paragraph" w:customStyle="1" w:styleId="21">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2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2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9">
    <w:name w:val="插入文本样式-插入部门职责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30">
    <w:name w:val="插入文本样式-插入预算公开部门预算安排的总体情况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31">
    <w:name w:val="插入文本样式-插入预算公开部门机关运行经费安排情况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32">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33">
    <w:name w:val="插入文本样式-插入总体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34">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35">
    <w:name w:val="插入文本样式-插入单位职责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36">
    <w:name w:val="插入文本样式-插入预算公开单位预算安排的总体情况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37">
    <w:name w:val="插入文本样式-插入预算公开单位机关运行经费安排情况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38">
    <w:name w:val="插入文本样式-插入预算公开单位财政拨款三公经费预算情况及增减变化原因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11719</Words>
  <Characters>12151</Characters>
  <Lines>20</Lines>
  <Paragraphs>29</Paragraphs>
  <TotalTime>4</TotalTime>
  <ScaleCrop>false</ScaleCrop>
  <LinksUpToDate>false</LinksUpToDate>
  <CharactersWithSpaces>12550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K。</cp:lastModifiedBy>
  <cp:lastPrinted>2022-03-17T14:07:00Z</cp:lastPrinted>
  <dcterms:modified xsi:type="dcterms:W3CDTF">2023-05-10T07:00:40Z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AAAA4B2637934034AF9119C0E9003520</vt:lpwstr>
  </property>
</Properties>
</file>