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300" w:lineRule="auto"/>
        <w:jc w:val="center"/>
        <w:rPr>
          <w:rFonts w:ascii="黑体" w:eastAsia="黑体" w:hAnsi="黑体"/>
          <w:sz w:val="36"/>
          <w:szCs w:val="36"/>
        </w:rPr>
      </w:pPr>
      <w:r>
        <w:rPr>
          <w:rFonts w:ascii="黑体" w:eastAsia="黑体" w:hAnsi="黑体" w:hint="eastAsia"/>
          <w:sz w:val="36"/>
          <w:szCs w:val="36"/>
        </w:rPr>
        <w:t>科学技术</w:t>
      </w:r>
    </w:p>
    <w:p>
      <w:pPr>
        <w:adjustRightInd w:val="0"/>
        <w:snapToGrid w:val="0"/>
        <w:spacing w:line="300" w:lineRule="auto"/>
        <w:rPr>
          <w:sz w:val="24"/>
        </w:rPr>
      </w:pPr>
    </w:p>
    <w:p>
      <w:pPr>
        <w:adjustRightInd w:val="0"/>
        <w:snapToGrid w:val="0"/>
        <w:spacing w:line="300" w:lineRule="auto"/>
        <w:rPr>
          <w:sz w:val="24"/>
        </w:rPr>
      </w:pPr>
      <w:r>
        <w:rPr>
          <w:rFonts w:ascii="黑体" w:eastAsia="黑体" w:hAnsi="黑体" w:hint="eastAsia"/>
          <w:sz w:val="24"/>
        </w:rPr>
        <w:t>【概况】</w:t>
      </w:r>
      <w:r>
        <w:rPr>
          <w:rFonts w:hint="eastAsia"/>
          <w:sz w:val="24"/>
        </w:rPr>
        <w:t>　</w:t>
      </w:r>
      <w:r>
        <w:rPr>
          <w:rFonts w:ascii="宋体" w:hAnsi="宋体" w:hint="eastAsia"/>
          <w:sz w:val="24"/>
        </w:rPr>
        <w:t>2020年，永清县科学技术和工业信息化局（以下简称县科技工信局）紧紧围绕县委、县政府中心工作，以科技创新为核心，以创新平台、创新主体建设及“三创四建”为抓手，搭建政银企对接平台，推动企业转型升级，促进两化融合，全面助力企业复工复产，为县域经济高质量发展提供强有力支撑。</w:t>
      </w:r>
    </w:p>
    <w:p>
      <w:pPr>
        <w:adjustRightInd w:val="0"/>
        <w:snapToGrid w:val="0"/>
        <w:spacing w:line="300" w:lineRule="auto"/>
        <w:rPr>
          <w:sz w:val="24"/>
        </w:rPr>
      </w:pPr>
    </w:p>
    <w:p>
      <w:pPr>
        <w:adjustRightInd w:val="0"/>
        <w:snapToGrid w:val="0"/>
        <w:spacing w:line="300" w:lineRule="auto"/>
        <w:rPr>
          <w:rFonts w:ascii="宋体" w:hAnsi="宋体"/>
          <w:sz w:val="24"/>
        </w:rPr>
      </w:pPr>
      <w:r>
        <w:rPr>
          <w:rFonts w:ascii="黑体" w:eastAsia="黑体" w:hAnsi="黑体" w:hint="eastAsia"/>
          <w:color w:val="000000"/>
          <w:sz w:val="24"/>
        </w:rPr>
        <w:t>【科技创新主体建设】</w:t>
      </w:r>
      <w:r>
        <w:rPr>
          <w:rFonts w:hint="eastAsia"/>
          <w:sz w:val="24"/>
        </w:rPr>
        <w:t>　</w:t>
      </w:r>
      <w:r>
        <w:rPr>
          <w:rFonts w:ascii="宋体" w:hAnsi="宋体" w:hint="eastAsia"/>
          <w:sz w:val="24"/>
        </w:rPr>
        <w:t>2020年，成功申报科技型中小企业</w:t>
      </w:r>
      <w:r>
        <w:rPr>
          <w:rFonts w:ascii="宋体" w:hAnsi="宋体"/>
          <w:sz w:val="24"/>
        </w:rPr>
        <w:t>10</w:t>
      </w:r>
      <w:r>
        <w:rPr>
          <w:rFonts w:ascii="宋体" w:hAnsi="宋体" w:hint="eastAsia"/>
          <w:sz w:val="24"/>
        </w:rPr>
        <w:t>8家，全县科技型中小企业总数达到637家。认定高新技术企业14家（新认定10家，重新认定4家），全县高新技术企业总数达到49家。</w:t>
      </w:r>
    </w:p>
    <w:p>
      <w:pPr>
        <w:adjustRightInd w:val="0"/>
        <w:snapToGrid w:val="0"/>
        <w:spacing w:line="300" w:lineRule="auto"/>
        <w:rPr>
          <w:sz w:val="24"/>
        </w:rPr>
      </w:pPr>
    </w:p>
    <w:p>
      <w:pPr>
        <w:adjustRightInd w:val="0"/>
        <w:snapToGrid w:val="0"/>
        <w:spacing w:line="300" w:lineRule="auto"/>
        <w:rPr>
          <w:sz w:val="24"/>
        </w:rPr>
      </w:pPr>
      <w:r>
        <w:rPr>
          <w:rFonts w:ascii="黑体" w:eastAsia="黑体" w:hAnsi="黑体" w:hint="eastAsia"/>
          <w:sz w:val="24"/>
        </w:rPr>
        <w:t>【</w:t>
      </w:r>
      <w:r>
        <w:rPr>
          <w:rFonts w:ascii="黑体" w:eastAsia="黑体" w:hAnsi="黑体" w:hint="eastAsia"/>
          <w:color w:val="000000"/>
          <w:sz w:val="24"/>
        </w:rPr>
        <w:t>创业创新平台建</w:t>
      </w:r>
      <w:r>
        <w:rPr>
          <w:rFonts w:ascii="黑体" w:eastAsia="黑体" w:hAnsi="黑体" w:hint="eastAsia"/>
          <w:sz w:val="24"/>
        </w:rPr>
        <w:t>设】</w:t>
      </w:r>
      <w:r>
        <w:rPr>
          <w:rFonts w:hint="eastAsia"/>
          <w:sz w:val="24"/>
        </w:rPr>
        <w:t>　</w:t>
      </w:r>
      <w:r>
        <w:rPr>
          <w:rFonts w:ascii="宋体" w:hAnsi="宋体" w:hint="eastAsia"/>
          <w:sz w:val="24"/>
        </w:rPr>
        <w:t>2020年，永清青年众创空间成功升级为省级众创空间，新增省级“星创天地”10家，新增市级以上研发平台13家，其中河北视窗玻璃有限公司申报的河北省超薄电子玻璃技术创新中心列入省科技厅2020年省级技术创新中心建设序列。霍尔茨门业、燕南春酒业的工业设计中心被认定为市级工业设计中心，</w:t>
      </w:r>
      <w:r>
        <w:rPr>
          <w:rFonts w:ascii="宋体" w:hAnsi="宋体" w:hint="eastAsia"/>
          <w:color w:val="000000"/>
          <w:sz w:val="24"/>
        </w:rPr>
        <w:t>云裳小镇、乐谷众创空间、筑梦众创空间3家小微型企业创业创新基地被市工信局认定为市级小微型企业创业创新基地。</w:t>
      </w:r>
    </w:p>
    <w:p>
      <w:pPr>
        <w:adjustRightInd w:val="0"/>
        <w:snapToGrid w:val="0"/>
        <w:spacing w:line="300" w:lineRule="auto"/>
        <w:rPr>
          <w:rFonts w:ascii="宋体" w:hAnsi="宋体"/>
          <w:sz w:val="24"/>
        </w:rPr>
      </w:pPr>
    </w:p>
    <w:p>
      <w:pPr>
        <w:adjustRightInd w:val="0"/>
        <w:snapToGrid w:val="0"/>
        <w:spacing w:line="300" w:lineRule="auto"/>
        <w:rPr>
          <w:sz w:val="24"/>
        </w:rPr>
      </w:pPr>
      <w:r>
        <w:rPr>
          <w:rFonts w:ascii="黑体" w:eastAsia="黑体" w:hAnsi="黑体" w:hint="eastAsia"/>
          <w:sz w:val="24"/>
        </w:rPr>
        <w:t>【企业科技转型升级】</w:t>
      </w:r>
      <w:r>
        <w:rPr>
          <w:rFonts w:hint="eastAsia"/>
          <w:sz w:val="24"/>
        </w:rPr>
        <w:t>　</w:t>
      </w:r>
      <w:r>
        <w:rPr>
          <w:rFonts w:ascii="宋体" w:hAnsi="宋体" w:hint="eastAsia"/>
          <w:sz w:val="24"/>
        </w:rPr>
        <w:t>2020年，成功申报省级重点技术改造项目8个、省级科技计划项目4个、市级科技项目4个，省级数字化车间2个、市级数字化车间3个。认定省级“专精特新”企业5家，市级“专精特新”企业4家。河北嘉宝莉涂料有限公司、河北视窗玻璃有限公司2家公司被工信部认定为专精特新“小巨人”企业；河北南玻玻璃有限公司总经理王长军被评为2020年河北省优秀民营企业家。河北视窗玻璃有限公司被评为2020年度河北省技术创新示范企业。</w:t>
      </w:r>
    </w:p>
    <w:p>
      <w:pPr>
        <w:adjustRightInd w:val="0"/>
        <w:snapToGrid w:val="0"/>
        <w:spacing w:line="300" w:lineRule="auto"/>
        <w:rPr>
          <w:sz w:val="24"/>
        </w:rPr>
      </w:pPr>
    </w:p>
    <w:p>
      <w:pPr>
        <w:adjustRightInd w:val="0"/>
        <w:snapToGrid w:val="0"/>
        <w:spacing w:line="300" w:lineRule="auto"/>
        <w:rPr>
          <w:rFonts w:ascii="宋体" w:hAnsi="宋体"/>
          <w:sz w:val="24"/>
        </w:rPr>
      </w:pPr>
      <w:r>
        <w:rPr>
          <w:rFonts w:ascii="黑体" w:eastAsia="黑体" w:hAnsi="黑体" w:hint="eastAsia"/>
          <w:sz w:val="24"/>
        </w:rPr>
        <w:t>【打造特色产业】</w:t>
      </w:r>
      <w:r>
        <w:rPr>
          <w:rFonts w:hint="eastAsia"/>
          <w:sz w:val="24"/>
        </w:rPr>
        <w:t>　</w:t>
      </w:r>
      <w:r>
        <w:rPr>
          <w:rFonts w:ascii="宋体" w:hAnsi="宋体" w:hint="eastAsia"/>
          <w:sz w:val="24"/>
        </w:rPr>
        <w:t>2020年，组织开展2020永清核雕文创设计论坛和2020年永清核雕文化创意产品设计大赛等系列活动，着力打造永清核雕品牌。6月25日，永清核雕文化创意产品设计大赛颁奖仪式圆满落幕，最终评出核雕文化最佳创意设计精品奖5名，最佳创意设计优秀奖10名，最佳创意设计奖15名。有力提升核雕文创专业人才创意能力和设计水平，激发核雕从业人员创意设计热情，促进县域核雕产业健康发展。组织云裳小镇4个服装设计师参加河北省服装设计大赛，其中2名设计师获得“河北省十佳设计师”称号，推进了县域服装服饰产业向时尚化、国际化发展。</w:t>
      </w:r>
    </w:p>
    <w:p>
      <w:pPr>
        <w:adjustRightInd w:val="0"/>
        <w:snapToGrid w:val="0"/>
        <w:spacing w:line="300" w:lineRule="auto"/>
        <w:rPr>
          <w:sz w:val="24"/>
        </w:rPr>
      </w:pPr>
    </w:p>
    <w:p>
      <w:pPr>
        <w:adjustRightInd w:val="0"/>
        <w:snapToGrid w:val="0"/>
        <w:spacing w:line="300" w:lineRule="auto"/>
        <w:rPr>
          <w:rFonts w:ascii="宋体" w:hAnsi="宋体"/>
          <w:sz w:val="24"/>
        </w:rPr>
      </w:pPr>
      <w:r>
        <w:rPr>
          <w:rFonts w:ascii="黑体" w:eastAsia="黑体" w:hAnsi="黑体" w:hint="eastAsia"/>
          <w:sz w:val="24"/>
        </w:rPr>
        <w:t>【惠企政策】</w:t>
      </w:r>
      <w:r>
        <w:rPr>
          <w:rFonts w:ascii="宋体" w:hAnsi="宋体" w:hint="eastAsia"/>
          <w:sz w:val="24"/>
        </w:rPr>
        <w:t>　2020年，出台《应对新型冠状病毒感染的肺炎疫情支持中小企业共渡难关的十四项措施》，联合人社、税务、金融等多部门开展政策宣讲及银企对接会10余次。积极落实科技创新、民营经济发展各项政策，为企业发展争取上级资金支持。全年共为16家企业融资3043万元。永城融资担保有限公司全年开展融资担保业务，担保金额3.67亿元，惠及企业111家。组织永清霍尔茨门业有限公司、康达橡塑有限公司、永清县鑫海金塑有限公司等6家企业参加“廊坊市企业家进高校素质提升南昌大学专场活动”，提升企业家创新精神，推动企业高质量发展。</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w:t>
      </w:r>
      <w:r>
        <w:rPr>
          <w:rFonts w:ascii="黑体" w:eastAsia="黑体" w:hAnsi="黑体"/>
          <w:sz w:val="24"/>
        </w:rPr>
        <w:t>科技扶贫</w:t>
      </w:r>
      <w:r>
        <w:rPr>
          <w:rFonts w:ascii="黑体" w:eastAsia="黑体" w:hAnsi="黑体" w:hint="eastAsia"/>
          <w:sz w:val="24"/>
        </w:rPr>
        <w:t>】</w:t>
      </w:r>
      <w:r>
        <w:rPr>
          <w:rFonts w:ascii="宋体" w:hAnsi="宋体" w:hint="eastAsia"/>
          <w:sz w:val="24"/>
        </w:rPr>
        <w:t>　2020年，坚持扶贫与扶智相结合，以农业科技园区、星创天地为基地，以科技特派员为抓手开展精准扶贫。年内，在县域内建设8个科技特派员工作站。采取县域农业专家＋公司技术人员组成技术服务团队模式，充分发挥自身专业特长为工作站辐射区的农民和有技术需求的贫困户进行技术指导，特别加强对有劳动能力和科技需求的贫困户进行点对点、一对一的专业技术培训，累计开展技术指导62次，取得良好效果。开展农业科技知识培训。采取课堂培训与现场讲解相结合方式，培训内容涉及小麦、玉米、蔬菜种植术等多项农业最新实用技术，全县100余名农业技术带头人参加培训，为全县农村贫困人口全部脱贫提供科技支撑。</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【两化融合】</w:t>
      </w:r>
      <w:r>
        <w:rPr>
          <w:rFonts w:ascii="宋体" w:hAnsi="宋体" w:hint="eastAsia"/>
          <w:sz w:val="24"/>
        </w:rPr>
        <w:t>　2020年，在全市率先完成规模以上工业企业两化融合整体性评估，组织超百家工业企业负责人参加全省数字经济大会、数字经济赋能高质量发展论坛等高</w:t>
      </w:r>
    </w:p>
    <w:p>
      <w:pPr>
        <w:adjustRightInd w:val="0"/>
        <w:snapToGrid w:val="0"/>
        <w:spacing w:line="300" w:lineRule="auto"/>
        <w:rPr>
          <w:rFonts w:ascii="宋体" w:hAnsi="宋体"/>
          <w:sz w:val="24"/>
        </w:rPr>
      </w:pPr>
      <w:r>
        <w:rPr>
          <w:rFonts w:ascii="宋体" w:hAnsi="宋体" w:hint="eastAsia"/>
          <w:sz w:val="24"/>
        </w:rPr>
        <w:t>规格会议，成功组织召开全县工业企业上云专题培训会，带动7家工业企业上云。</w:t>
      </w:r>
    </w:p>
    <w:p>
      <w:pPr>
        <w:adjustRightInd w:val="0"/>
        <w:snapToGrid w:val="0"/>
        <w:spacing w:line="300" w:lineRule="auto"/>
        <w:rPr>
          <w:rFonts w:ascii="宋体" w:hAnsi="宋体"/>
          <w:sz w:val="24"/>
        </w:rPr>
      </w:pPr>
    </w:p>
    <w:p>
      <w:pPr>
        <w:adjustRightInd w:val="0"/>
        <w:snapToGrid w:val="0"/>
        <w:spacing w:beforeLines="50" w:before="156" w:afterLines="50" w:after="156" w:line="300" w:lineRule="auto"/>
        <w:jc w:val="center"/>
        <w:rPr>
          <w:rFonts w:ascii="黑体" w:eastAsia="黑体" w:hAnsi="宋体"/>
          <w:color w:val="000000"/>
          <w:szCs w:val="21"/>
        </w:rPr>
      </w:pPr>
      <w:r>
        <w:rPr>
          <w:rFonts w:ascii="黑体" w:eastAsia="黑体" w:hAnsi="宋体" w:hint="eastAsia"/>
          <w:color w:val="000000"/>
          <w:szCs w:val="21"/>
        </w:rPr>
        <w:t>2020年永清县科技成果情况一览表</w:t>
      </w:r>
    </w:p>
    <w:tbl>
      <w:tblPr>
        <w:jc w:val="left"/>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0" w:type="dxa"/>
          <w:left w:w="108" w:type="dxa"/>
          <w:bottom w:w="0" w:type="dxa"/>
          <w:right w:w="108" w:type="dxa"/>
        </w:tblCellMar>
      </w:tblPr>
      <w:tblGrid>
        <w:gridCol w:w="2863"/>
        <w:gridCol w:w="2127"/>
        <w:gridCol w:w="991"/>
        <w:gridCol w:w="2138"/>
        <w:gridCol w:w="781"/>
      </w:tblGrid>
      <w:tr>
        <w:trPr>
          <w:trHeight w:val="390"/>
        </w:trPr>
        <w:tc>
          <w:tcPr>
            <w:tcW w:w="1608" w:type="pct"/>
            <w:tcMar>
              <w:left w:w="28" w:type="dxa"/>
              <w:right w:w="28" w:type="dxa"/>
            </w:tcMar>
            <w:vAlign w:val="center"/>
          </w:tcPr>
          <w:p>
            <w:pPr>
              <w:adjustRightInd w:val="0"/>
              <w:snapToGrid w:val="0"/>
              <w:spacing w:line="300" w:lineRule="auto"/>
              <w:jc w:val="center"/>
              <w:rPr>
                <w:rFonts w:ascii="宋体" w:hAnsi="宋体"/>
                <w:color w:val="000000"/>
                <w:sz w:val="18"/>
                <w:szCs w:val="18"/>
              </w:rPr>
            </w:pPr>
            <w:r>
              <w:rPr>
                <w:rFonts w:ascii="宋体" w:hAnsi="宋体" w:hint="eastAsia"/>
                <w:color w:val="000000"/>
                <w:sz w:val="18"/>
                <w:szCs w:val="18"/>
              </w:rPr>
              <w:t>成果名称</w:t>
            </w:r>
          </w:p>
        </w:tc>
        <w:tc>
          <w:tcPr>
            <w:tcW w:w="1195" w:type="pct"/>
            <w:tcMar>
              <w:left w:w="28" w:type="dxa"/>
              <w:right w:w="28" w:type="dxa"/>
            </w:tcMar>
            <w:vAlign w:val="center"/>
          </w:tcPr>
          <w:p>
            <w:pPr>
              <w:adjustRightInd w:val="0"/>
              <w:snapToGrid w:val="0"/>
              <w:spacing w:line="300" w:lineRule="auto"/>
              <w:jc w:val="center"/>
              <w:rPr>
                <w:rFonts w:ascii="宋体" w:hAnsi="宋体"/>
                <w:color w:val="000000"/>
                <w:sz w:val="18"/>
                <w:szCs w:val="18"/>
              </w:rPr>
            </w:pPr>
            <w:r>
              <w:rPr>
                <w:rFonts w:ascii="宋体" w:hAnsi="宋体" w:hint="eastAsia"/>
                <w:color w:val="000000"/>
                <w:sz w:val="18"/>
                <w:szCs w:val="18"/>
              </w:rPr>
              <w:t>完成单位</w:t>
            </w:r>
          </w:p>
        </w:tc>
        <w:tc>
          <w:tcPr>
            <w:tcW w:w="557" w:type="pct"/>
            <w:tcMar>
              <w:left w:w="28" w:type="dxa"/>
              <w:right w:w="28" w:type="dxa"/>
            </w:tcMar>
            <w:vAlign w:val="center"/>
          </w:tcPr>
          <w:p>
            <w:pPr>
              <w:adjustRightInd w:val="0"/>
              <w:snapToGrid w:val="0"/>
              <w:spacing w:line="300" w:lineRule="auto"/>
              <w:jc w:val="center"/>
              <w:rPr>
                <w:rFonts w:ascii="宋体" w:hAnsi="宋体"/>
                <w:color w:val="000000"/>
                <w:sz w:val="18"/>
                <w:szCs w:val="18"/>
              </w:rPr>
            </w:pPr>
            <w:r>
              <w:rPr>
                <w:rFonts w:ascii="宋体" w:hAnsi="宋体" w:hint="eastAsia"/>
                <w:color w:val="000000"/>
                <w:sz w:val="18"/>
                <w:szCs w:val="18"/>
              </w:rPr>
              <w:t>完成时间</w:t>
            </w:r>
          </w:p>
        </w:tc>
        <w:tc>
          <w:tcPr>
            <w:tcW w:w="1201" w:type="pct"/>
            <w:tcMar>
              <w:left w:w="28" w:type="dxa"/>
              <w:right w:w="28" w:type="dxa"/>
            </w:tcMar>
            <w:vAlign w:val="center"/>
          </w:tcPr>
          <w:p>
            <w:pPr>
              <w:adjustRightInd w:val="0"/>
              <w:snapToGrid w:val="0"/>
              <w:spacing w:line="300" w:lineRule="auto"/>
              <w:jc w:val="center"/>
              <w:rPr>
                <w:rFonts w:ascii="宋体" w:hAnsi="宋体"/>
                <w:color w:val="000000"/>
                <w:sz w:val="18"/>
                <w:szCs w:val="18"/>
              </w:rPr>
            </w:pPr>
            <w:r>
              <w:rPr>
                <w:rFonts w:ascii="宋体" w:hAnsi="宋体" w:hint="eastAsia"/>
                <w:color w:val="000000"/>
                <w:sz w:val="18"/>
                <w:szCs w:val="18"/>
              </w:rPr>
              <w:t>主研人员</w:t>
            </w:r>
          </w:p>
        </w:tc>
        <w:tc>
          <w:tcPr>
            <w:tcW w:w="439" w:type="pct"/>
            <w:tcMar>
              <w:left w:w="28" w:type="dxa"/>
              <w:right w:w="28" w:type="dxa"/>
            </w:tcMar>
            <w:vAlign w:val="center"/>
          </w:tcPr>
          <w:p>
            <w:pPr>
              <w:adjustRightInd w:val="0"/>
              <w:snapToGrid w:val="0"/>
              <w:spacing w:line="300" w:lineRule="auto"/>
              <w:jc w:val="center"/>
              <w:rPr>
                <w:rFonts w:ascii="宋体" w:hAnsi="宋体"/>
                <w:color w:val="000000"/>
                <w:sz w:val="18"/>
                <w:szCs w:val="18"/>
              </w:rPr>
            </w:pPr>
            <w:r>
              <w:rPr>
                <w:rFonts w:ascii="宋体" w:hAnsi="宋体" w:hint="eastAsia"/>
                <w:color w:val="000000"/>
                <w:sz w:val="18"/>
                <w:szCs w:val="18"/>
              </w:rPr>
              <w:t>登记情况</w:t>
            </w:r>
          </w:p>
        </w:tc>
      </w:tr>
      <w:tr>
        <w:trPr>
          <w:trHeight w:val="790"/>
        </w:trPr>
        <w:tc>
          <w:tcPr>
            <w:tcW w:w="1608" w:type="pct"/>
            <w:tcMar>
              <w:left w:w="28" w:type="dxa"/>
              <w:right w:w="28" w:type="dxa"/>
            </w:tcMar>
            <w:vAlign w:val="center"/>
          </w:tcPr>
          <w:p>
            <w:pPr>
              <w:pStyle w:val="17"/>
              <w:adjustRightInd w:val="0"/>
              <w:snapToGrid w:val="0"/>
              <w:spacing w:line="300" w:lineRule="auto"/>
              <w:ind w:firstLineChars="0" w:firstLine="0"/>
              <w:outlineLvl w:val="1"/>
              <w:rPr>
                <w:rFonts w:ascii="宋体"/>
                <w:sz w:val="18"/>
                <w:szCs w:val="18"/>
              </w:rPr>
            </w:pPr>
            <w:r>
              <w:rPr>
                <w:rFonts w:ascii="宋体" w:hint="eastAsia"/>
                <w:sz w:val="18"/>
                <w:szCs w:val="18"/>
              </w:rPr>
              <w:t>废旧农膜（PE）处理过程中废水循环利用技术研究与应用</w:t>
            </w:r>
          </w:p>
        </w:tc>
        <w:tc>
          <w:tcPr>
            <w:tcW w:w="1195" w:type="pct"/>
            <w:tcBorders>
              <w:left w:val="single" w:sz="4" w:space="0" w:color="auto"/>
              <w:right w:val="single" w:sz="4" w:space="0" w:color="auto"/>
            </w:tcBorders>
            <w:tcMar>
              <w:left w:w="28" w:type="dxa"/>
              <w:right w:w="28" w:type="dxa"/>
            </w:tcMar>
            <w:vAlign w:val="center"/>
          </w:tcPr>
          <w:p>
            <w:pPr>
              <w:adjustRightInd w:val="0"/>
              <w:snapToGrid w:val="0"/>
              <w:spacing w:line="300" w:lineRule="auto"/>
              <w:rPr>
                <w:rFonts w:ascii="方正书宋简体" w:eastAsia="方正书宋简体" w:hAnsi="宋体"/>
                <w:color w:val="000000"/>
                <w:sz w:val="18"/>
                <w:szCs w:val="18"/>
              </w:rPr>
            </w:pPr>
            <w:r>
              <w:rPr>
                <w:rFonts w:ascii="宋体" w:hint="eastAsia"/>
                <w:sz w:val="18"/>
                <w:szCs w:val="18"/>
              </w:rPr>
              <w:t>廊坊大耕源肥业有限公司</w:t>
            </w:r>
          </w:p>
        </w:tc>
        <w:tc>
          <w:tcPr>
            <w:tcW w:w="557" w:type="pct"/>
            <w:tcBorders>
              <w:left w:val="single" w:sz="4" w:space="0" w:color="auto"/>
              <w:right w:val="single" w:sz="4" w:space="0" w:color="auto"/>
            </w:tcBorders>
            <w:tcMar>
              <w:left w:w="28" w:type="dxa"/>
              <w:right w:w="28" w:type="dxa"/>
            </w:tcMar>
            <w:vAlign w:val="center"/>
          </w:tcPr>
          <w:p>
            <w:pPr>
              <w:adjustRightInd w:val="0"/>
              <w:snapToGrid w:val="0"/>
              <w:spacing w:line="300" w:lineRule="auto"/>
              <w:jc w:val="center"/>
              <w:rPr>
                <w:rFonts w:ascii="方正书宋简体" w:eastAsia="方正书宋简体" w:hAnsi="宋体"/>
                <w:color w:val="000000"/>
                <w:sz w:val="18"/>
                <w:szCs w:val="18"/>
              </w:rPr>
            </w:pPr>
            <w:r>
              <w:rPr>
                <w:rFonts w:ascii="宋体" w:hint="eastAsia"/>
                <w:sz w:val="18"/>
                <w:szCs w:val="18"/>
              </w:rPr>
              <w:t>2020.12</w:t>
            </w:r>
          </w:p>
        </w:tc>
        <w:tc>
          <w:tcPr>
            <w:tcW w:w="1201" w:type="pct"/>
            <w:tcBorders>
              <w:left w:val="single" w:sz="4" w:space="0" w:color="auto"/>
              <w:right w:val="single" w:sz="4" w:space="0" w:color="auto"/>
            </w:tcBorders>
            <w:tcMar>
              <w:left w:w="28" w:type="dxa"/>
              <w:right w:w="28" w:type="dxa"/>
            </w:tcMar>
            <w:vAlign w:val="center"/>
          </w:tcPr>
          <w:p>
            <w:pPr>
              <w:adjustRightInd w:val="0"/>
              <w:snapToGrid w:val="0"/>
              <w:spacing w:line="300" w:lineRule="auto"/>
              <w:jc w:val="left"/>
              <w:rPr>
                <w:rFonts w:ascii="方正书宋简体" w:eastAsia="方正书宋简体" w:hAnsi="宋体"/>
                <w:color w:val="000000"/>
                <w:sz w:val="18"/>
                <w:szCs w:val="18"/>
              </w:rPr>
            </w:pPr>
            <w:r>
              <w:rPr>
                <w:rFonts w:ascii="宋体" w:hint="eastAsia"/>
                <w:sz w:val="18"/>
                <w:szCs w:val="18"/>
              </w:rPr>
              <w:t>张　明、赵新新、张　强、王建民、王金锋、贾炳娟、王永江、韩铁峰</w:t>
            </w:r>
          </w:p>
        </w:tc>
        <w:tc>
          <w:tcPr>
            <w:tcW w:w="439" w:type="pct"/>
            <w:tcMar>
              <w:left w:w="28" w:type="dxa"/>
              <w:right w:w="28" w:type="dxa"/>
            </w:tcMar>
            <w:vAlign w:val="center"/>
          </w:tcPr>
          <w:p>
            <w:pPr>
              <w:adjustRightInd w:val="0"/>
              <w:snapToGrid w:val="0"/>
              <w:spacing w:line="300" w:lineRule="auto"/>
              <w:jc w:val="center"/>
              <w:rPr>
                <w:rFonts w:ascii="方正书宋简体" w:eastAsia="方正书宋简体" w:hAnsi="宋体"/>
                <w:color w:val="000000"/>
                <w:sz w:val="18"/>
                <w:szCs w:val="18"/>
              </w:rPr>
            </w:pPr>
            <w:r>
              <w:rPr>
                <w:rFonts w:ascii="宋体" w:hint="eastAsia"/>
                <w:sz w:val="18"/>
                <w:szCs w:val="18"/>
              </w:rPr>
              <w:t>成功登记</w:t>
            </w:r>
          </w:p>
        </w:tc>
      </w:tr>
    </w:tbl>
    <w:p>
      <w:pPr>
        <w:adjustRightInd w:val="0"/>
        <w:snapToGrid w:val="0"/>
        <w:spacing w:line="300" w:lineRule="auto"/>
        <w:jc w:val="right"/>
        <w:rPr>
          <w:rFonts w:ascii="楷体" w:eastAsia="楷体" w:hAnsi="楷体"/>
          <w:sz w:val="24"/>
        </w:rPr>
      </w:pPr>
      <w:bookmarkStart w:id="0" w:name="_GoBack"/>
      <w:bookmarkEnd w:id="0"/>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p>
    <w:sectPr>
      <w:footerReference w:type="default" r:id="rId2"/>
      <w:pgSz w:w="11906" w:h="16838"/>
      <w:pgMar w:top="1701" w:right="1531" w:bottom="1701"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Microsoft YaHei UI"/>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 w:name="仿宋_GB2312">
    <w:panose1 w:val="02010609030101010101"/>
    <w:charset w:val="86"/>
    <w:family w:val="modern"/>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_x0000_s1026"/>
              <wp:cNvGraphicFramePr>
                <a:graphicFrameLocks noChangeAspect="0"/>
              </wp:cNvGraphicFramePr>
              <a:graphic>
                <a:graphicData uri="http://schemas.microsoft.com/office/word/2010/wordprocessingShape">
                  <wps:wsp>
                    <wps:cNvSpPr/>
                    <wps:spPr>
                      <a:xfrm rot="0">
                        <a:off x="0" y="0"/>
                        <a:ext cx="57150" cy="131559"/>
                      </a:xfrm>
                      <a:prstGeom prst="rect"/>
                      <a:noFill/>
                      <a:ln w="9525" cmpd="sng" cap="flat">
                        <a:noFill/>
                        <a:prstDash val="solid"/>
                        <a:miter/>
                      </a:ln>
                    </wps:spPr>
                    <wps:txbx id="2">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_x0000_s1026 3" o:spid="_x0000_s3" filled="f" stroked="f" style="position:absolute;margin-left:0.0pt;margin-top:0.0pt;width:4.5pt;height:10.35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Plain Text"/>
    <w:pPr>
      <w:widowControl w:val="0"/>
      <w:spacing w:line="360" w:lineRule="auto"/>
      <w:ind w:firstLineChars="200" w:firstLine="200"/>
      <w:jc w:val="both"/>
    </w:pPr>
    <w:rPr>
      <w:rFonts w:ascii="仿宋_GB2312" w:eastAsia="宋体" w:cs="Times New Roman" w:hAnsi="仿宋_GB2312"/>
      <w:sz w:val="24"/>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32AD166-F188-4DFC-ACC8-E808B69B314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133</TotalTime>
  <Application>Yozo_Office27021597764231179</Application>
  <Pages>2</Pages>
  <Words>0</Words>
  <Characters>1294</Characters>
  <Lines>0</Lines>
  <Paragraphs>24</Paragraphs>
  <CharactersWithSpaces>1726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zhaizihan</dc:creator>
  <cp:lastModifiedBy>Administrator</cp:lastModifiedBy>
  <cp:revision>26</cp:revision>
  <dcterms:created xsi:type="dcterms:W3CDTF">2014-10-29T12:08:00Z</dcterms:created>
  <dcterms:modified xsi:type="dcterms:W3CDTF">2023-10-17T07:02:28Z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ies>
</file>