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adjustRightInd w:val="0"/>
        <w:snapToGrid w:val="0"/>
        <w:spacing w:line="300" w:lineRule="auto"/>
        <w:jc w:val="center"/>
        <w:rPr>
          <w:rFonts w:ascii="黑体" w:eastAsia="黑体" w:hAnsi="黑体"/>
          <w:sz w:val="36"/>
          <w:szCs w:val="36"/>
        </w:rPr>
      </w:pPr>
      <w:r>
        <w:rPr>
          <w:rFonts w:ascii="黑体" w:eastAsia="黑体" w:hAnsi="黑体" w:hint="eastAsia"/>
          <w:sz w:val="36"/>
          <w:szCs w:val="36"/>
        </w:rPr>
        <w:t>科学技术</w:t>
      </w:r>
    </w:p>
    <w:p>
      <w:pPr>
        <w:adjustRightInd w:val="0"/>
        <w:snapToGrid w:val="0"/>
        <w:spacing w:line="300" w:lineRule="auto"/>
        <w:rPr>
          <w:rFonts w:ascii="宋体" w:hAnsi="宋体"/>
          <w:sz w:val="24"/>
        </w:rPr>
      </w:pPr>
    </w:p>
    <w:p>
      <w:pPr>
        <w:adjustRightInd w:val="0"/>
        <w:snapToGrid w:val="0"/>
        <w:spacing w:line="300" w:lineRule="auto"/>
        <w:rPr>
          <w:rFonts w:ascii="宋体" w:hAnsi="宋体"/>
          <w:sz w:val="24"/>
        </w:rPr>
      </w:pPr>
      <w:r>
        <w:rPr>
          <w:rFonts w:ascii="黑体" w:eastAsia="黑体" w:hAnsi="黑体" w:hint="eastAsia"/>
          <w:sz w:val="24"/>
        </w:rPr>
        <w:t>【概况】</w:t>
      </w:r>
      <w:r>
        <w:rPr>
          <w:rFonts w:ascii="宋体" w:hAnsi="宋体" w:hint="eastAsia"/>
          <w:sz w:val="24"/>
        </w:rPr>
        <w:t>　2022年，永清县科学技术和工业信息化局紧紧围绕县委、县政府中心工作，创新工作举措，深入开展“二次创业”“走访解促”“三统筹、三扩大、四创建”等活动，推动全县工业经济运行稳中有进，高质量发展。</w:t>
      </w:r>
    </w:p>
    <w:p>
      <w:pPr>
        <w:adjustRightInd w:val="0"/>
        <w:snapToGrid w:val="0"/>
        <w:spacing w:line="300" w:lineRule="auto"/>
        <w:rPr>
          <w:rFonts w:ascii="宋体" w:hAnsi="宋体"/>
          <w:sz w:val="24"/>
        </w:rPr>
      </w:pPr>
    </w:p>
    <w:p>
      <w:pPr>
        <w:adjustRightInd w:val="0"/>
        <w:snapToGrid w:val="0"/>
        <w:spacing w:line="300" w:lineRule="auto"/>
        <w:rPr>
          <w:rFonts w:ascii="宋体" w:hAnsi="宋体"/>
          <w:sz w:val="24"/>
        </w:rPr>
      </w:pPr>
      <w:r>
        <w:rPr>
          <w:rFonts w:ascii="黑体" w:eastAsia="黑体" w:hAnsi="黑体" w:hint="eastAsia"/>
          <w:sz w:val="24"/>
        </w:rPr>
        <w:t>【</w:t>
      </w:r>
      <w:r>
        <w:rPr>
          <w:rFonts w:ascii="黑体" w:eastAsia="黑体" w:hAnsi="黑体"/>
          <w:sz w:val="24"/>
        </w:rPr>
        <w:t>科技</w:t>
      </w:r>
      <w:r>
        <w:rPr>
          <w:rFonts w:ascii="黑体" w:eastAsia="黑体" w:hAnsi="黑体" w:hint="eastAsia"/>
          <w:sz w:val="24"/>
        </w:rPr>
        <w:t>创新主体建设】</w:t>
      </w:r>
      <w:r>
        <w:rPr>
          <w:rFonts w:ascii="宋体" w:hAnsi="宋体" w:hint="eastAsia"/>
          <w:sz w:val="24"/>
        </w:rPr>
        <w:t>　2022年，认定科技型中小企业181家，全县科技型中小企业总数达到642家。认定高新技术企业35家，其中新认定22家，重新认定13家，全县高新技术企业总数达到75家。建立市级以上研发机构6家，其中市级4家、省级2家；全县市级以上研发机构达到42家，其中市级30家、省级12家。</w:t>
      </w:r>
    </w:p>
    <w:p>
      <w:pPr>
        <w:adjustRightInd w:val="0"/>
        <w:snapToGrid w:val="0"/>
        <w:spacing w:line="300" w:lineRule="auto"/>
        <w:rPr>
          <w:rFonts w:ascii="宋体" w:hAnsi="宋体"/>
          <w:sz w:val="24"/>
        </w:rPr>
      </w:pPr>
    </w:p>
    <w:p>
      <w:pPr>
        <w:adjustRightInd w:val="0"/>
        <w:snapToGrid w:val="0"/>
        <w:spacing w:line="300" w:lineRule="auto"/>
        <w:rPr>
          <w:rFonts w:ascii="宋体" w:hAnsi="宋体"/>
          <w:sz w:val="24"/>
        </w:rPr>
      </w:pPr>
      <w:r>
        <w:rPr>
          <w:rFonts w:ascii="黑体" w:eastAsia="黑体" w:hAnsi="黑体" w:hint="eastAsia"/>
          <w:sz w:val="24"/>
        </w:rPr>
        <w:t>【创新平台建设】</w:t>
      </w:r>
      <w:r>
        <w:rPr>
          <w:rFonts w:ascii="宋体" w:hAnsi="宋体" w:hint="eastAsia"/>
          <w:sz w:val="24"/>
        </w:rPr>
        <w:t>　202</w:t>
      </w:r>
      <w:r>
        <w:rPr>
          <w:rFonts w:ascii="宋体" w:hAnsi="宋体"/>
          <w:sz w:val="24"/>
        </w:rPr>
        <w:t>2</w:t>
      </w:r>
      <w:r>
        <w:rPr>
          <w:rFonts w:ascii="宋体" w:hAnsi="宋体" w:hint="eastAsia"/>
          <w:sz w:val="24"/>
        </w:rPr>
        <w:t>年，河北梦工场科技孵化器有限公司运营的“永清县梦工场众创空间”</w:t>
      </w:r>
      <w:r>
        <w:rPr>
          <w:rFonts w:ascii="宋体" w:hAnsi="宋体"/>
          <w:sz w:val="24"/>
        </w:rPr>
        <w:t>成功认定为</w:t>
      </w:r>
      <w:r>
        <w:rPr>
          <w:rFonts w:ascii="宋体" w:hAnsi="宋体" w:hint="eastAsia"/>
          <w:sz w:val="24"/>
        </w:rPr>
        <w:t>市级众创空间。</w:t>
      </w:r>
      <w:r>
        <w:rPr>
          <w:rFonts w:ascii="宋体" w:hAnsi="宋体"/>
          <w:sz w:val="24"/>
        </w:rPr>
        <w:t>推荐琦睿电池科技有限公司“氢燃料电池系统集成项目”参加河北省中小企业创新创业大赛，荣获第七届“创客中国”河北省中小企业创新创业大赛河北省决赛二等奖。</w:t>
      </w:r>
    </w:p>
    <w:p>
      <w:pPr>
        <w:adjustRightInd w:val="0"/>
        <w:snapToGrid w:val="0"/>
        <w:spacing w:line="300" w:lineRule="auto"/>
        <w:rPr>
          <w:rFonts w:ascii="宋体" w:hAnsi="宋体"/>
          <w:sz w:val="24"/>
        </w:rPr>
      </w:pPr>
    </w:p>
    <w:p>
      <w:pPr>
        <w:adjustRightInd w:val="0"/>
        <w:snapToGrid w:val="0"/>
        <w:spacing w:line="300" w:lineRule="auto"/>
        <w:rPr>
          <w:rFonts w:ascii="宋体" w:hAnsi="宋体"/>
          <w:sz w:val="24"/>
        </w:rPr>
      </w:pPr>
      <w:r>
        <w:rPr>
          <w:rFonts w:ascii="黑体" w:eastAsia="黑体" w:hAnsi="黑体" w:hint="eastAsia"/>
          <w:sz w:val="24"/>
        </w:rPr>
        <w:t>【企业科技转型升级】</w:t>
      </w:r>
      <w:r>
        <w:rPr>
          <w:rFonts w:ascii="宋体" w:hAnsi="宋体" w:hint="eastAsia"/>
          <w:sz w:val="24"/>
        </w:rPr>
        <w:t xml:space="preserve">  202</w:t>
      </w:r>
      <w:r>
        <w:rPr>
          <w:rFonts w:ascii="宋体" w:hAnsi="宋体"/>
          <w:sz w:val="24"/>
        </w:rPr>
        <w:t>2</w:t>
      </w:r>
      <w:r>
        <w:rPr>
          <w:rFonts w:ascii="宋体" w:hAnsi="宋体" w:hint="eastAsia"/>
          <w:sz w:val="24"/>
        </w:rPr>
        <w:t>年，</w:t>
      </w:r>
      <w:r>
        <w:rPr>
          <w:rFonts w:ascii="宋体" w:hAnsi="宋体"/>
          <w:sz w:val="24"/>
        </w:rPr>
        <w:t>获批省级“专精特新”企业7家</w:t>
      </w:r>
      <w:r>
        <w:rPr>
          <w:rFonts w:ascii="宋体" w:hAnsi="宋体" w:hint="eastAsia"/>
          <w:sz w:val="24"/>
        </w:rPr>
        <w:t>、</w:t>
      </w:r>
      <w:r>
        <w:rPr>
          <w:rFonts w:ascii="宋体" w:hAnsi="宋体"/>
          <w:sz w:val="24"/>
        </w:rPr>
        <w:t>市级“专精特新”企业5家</w:t>
      </w:r>
      <w:r>
        <w:rPr>
          <w:rFonts w:ascii="宋体" w:hAnsi="宋体" w:hint="eastAsia"/>
          <w:sz w:val="24"/>
        </w:rPr>
        <w:t>、</w:t>
      </w:r>
      <w:r>
        <w:rPr>
          <w:rFonts w:ascii="宋体" w:hAnsi="宋体"/>
          <w:sz w:val="24"/>
        </w:rPr>
        <w:t>省级节水型企业1家</w:t>
      </w:r>
      <w:r>
        <w:rPr>
          <w:rFonts w:ascii="宋体" w:hAnsi="宋体" w:hint="eastAsia"/>
          <w:sz w:val="24"/>
        </w:rPr>
        <w:t>、</w:t>
      </w:r>
      <w:r>
        <w:rPr>
          <w:rFonts w:ascii="宋体" w:hAnsi="宋体"/>
          <w:sz w:val="24"/>
        </w:rPr>
        <w:t>省级绿色工厂2家</w:t>
      </w:r>
      <w:r>
        <w:rPr>
          <w:rFonts w:ascii="宋体" w:hAnsi="宋体" w:hint="eastAsia"/>
          <w:sz w:val="24"/>
        </w:rPr>
        <w:t>、</w:t>
      </w:r>
      <w:r>
        <w:rPr>
          <w:rFonts w:ascii="宋体" w:hAnsi="宋体"/>
          <w:sz w:val="24"/>
        </w:rPr>
        <w:t>市级节水型标杆企业2家</w:t>
      </w:r>
      <w:r>
        <w:rPr>
          <w:rFonts w:ascii="宋体" w:hAnsi="宋体" w:hint="eastAsia"/>
          <w:sz w:val="24"/>
        </w:rPr>
        <w:t>、</w:t>
      </w:r>
      <w:r>
        <w:rPr>
          <w:rFonts w:ascii="宋体" w:hAnsi="宋体"/>
          <w:sz w:val="24"/>
        </w:rPr>
        <w:t>市级节水型标杆园区1个</w:t>
      </w:r>
      <w:r>
        <w:rPr>
          <w:rFonts w:ascii="宋体" w:hAnsi="宋体" w:hint="eastAsia"/>
          <w:sz w:val="24"/>
        </w:rPr>
        <w:t>，</w:t>
      </w:r>
      <w:r>
        <w:rPr>
          <w:rFonts w:ascii="宋体" w:hAnsi="宋体"/>
          <w:sz w:val="24"/>
        </w:rPr>
        <w:t>创建省级“专精特新”小巨人特派团3家</w:t>
      </w:r>
      <w:r>
        <w:rPr>
          <w:rFonts w:ascii="宋体" w:hAnsi="宋体" w:hint="eastAsia"/>
          <w:sz w:val="24"/>
        </w:rPr>
        <w:t>、</w:t>
      </w:r>
      <w:r>
        <w:rPr>
          <w:rFonts w:ascii="宋体" w:hAnsi="宋体"/>
          <w:sz w:val="24"/>
        </w:rPr>
        <w:t>市级企业科技特派团7家，实施技术改造项目6项，完成成果转化项目25个，获批省级项目2个</w:t>
      </w:r>
      <w:r>
        <w:rPr>
          <w:rFonts w:ascii="宋体" w:hAnsi="宋体" w:hint="eastAsia"/>
          <w:sz w:val="24"/>
        </w:rPr>
        <w:t>、</w:t>
      </w:r>
      <w:r>
        <w:rPr>
          <w:rFonts w:ascii="宋体" w:hAnsi="宋体"/>
          <w:sz w:val="24"/>
        </w:rPr>
        <w:t>市级项目3个，吸纳京津科技成果6项。</w:t>
      </w:r>
    </w:p>
    <w:p>
      <w:pPr>
        <w:adjustRightInd w:val="0"/>
        <w:snapToGrid w:val="0"/>
        <w:spacing w:line="300" w:lineRule="auto"/>
        <w:rPr>
          <w:rFonts w:ascii="宋体" w:hAnsi="宋体"/>
          <w:sz w:val="24"/>
        </w:rPr>
      </w:pPr>
    </w:p>
    <w:p>
      <w:pPr>
        <w:adjustRightInd w:val="0"/>
        <w:snapToGrid w:val="0"/>
        <w:spacing w:line="300" w:lineRule="auto"/>
        <w:rPr>
          <w:rFonts w:ascii="宋体" w:hAnsi="宋体"/>
          <w:sz w:val="24"/>
        </w:rPr>
      </w:pPr>
      <w:r>
        <w:rPr>
          <w:rFonts w:ascii="黑体" w:eastAsia="黑体" w:hAnsi="黑体" w:hint="eastAsia"/>
          <w:sz w:val="24"/>
        </w:rPr>
        <w:t>【惠企政策】</w:t>
      </w:r>
      <w:r>
        <w:rPr>
          <w:rFonts w:ascii="宋体" w:hAnsi="宋体" w:hint="eastAsia"/>
          <w:sz w:val="24"/>
        </w:rPr>
        <w:t>　202</w:t>
      </w:r>
      <w:r>
        <w:rPr>
          <w:rFonts w:ascii="宋体" w:hAnsi="宋体"/>
          <w:sz w:val="24"/>
        </w:rPr>
        <w:t>2</w:t>
      </w:r>
      <w:r>
        <w:rPr>
          <w:rFonts w:ascii="宋体" w:hAnsi="宋体" w:hint="eastAsia"/>
          <w:sz w:val="24"/>
        </w:rPr>
        <w:t>年，</w:t>
      </w:r>
      <w:r>
        <w:rPr>
          <w:rFonts w:ascii="宋体" w:hAnsi="宋体"/>
          <w:sz w:val="24"/>
        </w:rPr>
        <w:t>出台《关于支持规模以上工业企业的第一批服务举措》《关于支持规模以上服装企业发展第一批帮扶措施》《关于支持规模以上服装企业第一批发展措施路径方案》《关于加强产业培育促进服装企业升规入统的若干措施》</w:t>
      </w:r>
      <w:r>
        <w:rPr>
          <w:rFonts w:ascii="宋体" w:hAnsi="宋体" w:hint="eastAsia"/>
          <w:sz w:val="24"/>
        </w:rPr>
        <w:t>等</w:t>
      </w:r>
      <w:r>
        <w:rPr>
          <w:rFonts w:ascii="宋体" w:hAnsi="宋体"/>
          <w:sz w:val="24"/>
        </w:rPr>
        <w:t>政策文件</w:t>
      </w:r>
      <w:r>
        <w:rPr>
          <w:rFonts w:ascii="宋体" w:hAnsi="宋体" w:hint="eastAsia"/>
          <w:sz w:val="24"/>
        </w:rPr>
        <w:t>。扎实</w:t>
      </w:r>
      <w:r>
        <w:rPr>
          <w:rFonts w:ascii="宋体" w:hAnsi="宋体"/>
          <w:sz w:val="24"/>
        </w:rPr>
        <w:t>开展</w:t>
      </w:r>
      <w:r>
        <w:rPr>
          <w:rFonts w:ascii="宋体" w:hAnsi="宋体" w:hint="eastAsia"/>
          <w:sz w:val="24"/>
        </w:rPr>
        <w:t>政策宣</w:t>
      </w:r>
      <w:r>
        <w:rPr>
          <w:rFonts w:ascii="宋体" w:hAnsi="宋体"/>
          <w:sz w:val="24"/>
        </w:rPr>
        <w:t>讲</w:t>
      </w:r>
      <w:r>
        <w:rPr>
          <w:rFonts w:ascii="宋体" w:hAnsi="宋体" w:hint="eastAsia"/>
          <w:sz w:val="24"/>
        </w:rPr>
        <w:t>工作</w:t>
      </w:r>
      <w:r>
        <w:rPr>
          <w:rFonts w:ascii="宋体" w:hAnsi="宋体"/>
          <w:sz w:val="24"/>
        </w:rPr>
        <w:t>，</w:t>
      </w:r>
      <w:r>
        <w:rPr>
          <w:rFonts w:ascii="宋体" w:hAnsi="宋体" w:hint="eastAsia"/>
          <w:sz w:val="24"/>
        </w:rPr>
        <w:t>于</w:t>
      </w:r>
      <w:r>
        <w:rPr>
          <w:rFonts w:ascii="宋体" w:hAnsi="宋体"/>
          <w:sz w:val="24"/>
        </w:rPr>
        <w:t>4月25日、5月5日、5月10日、8月17日、8月26日、8月30日、9月28日、10月18日先后在高新区、里澜城、永清镇、别古庄、经开区举办8期惠企政策宣讲会，入企宣讲80余次，累计发放宣传手册300余本。</w:t>
      </w:r>
    </w:p>
    <w:p>
      <w:pPr>
        <w:adjustRightInd w:val="0"/>
        <w:snapToGrid w:val="0"/>
        <w:spacing w:line="300" w:lineRule="auto"/>
        <w:rPr>
          <w:rFonts w:ascii="宋体" w:hAnsi="宋体"/>
          <w:sz w:val="24"/>
        </w:rPr>
      </w:pPr>
    </w:p>
    <w:p>
      <w:pPr>
        <w:adjustRightInd w:val="0"/>
        <w:snapToGrid w:val="0"/>
        <w:spacing w:line="300" w:lineRule="auto"/>
        <w:rPr>
          <w:rFonts w:ascii="宋体" w:hAnsi="宋体"/>
          <w:sz w:val="24"/>
        </w:rPr>
      </w:pPr>
      <w:r>
        <w:rPr>
          <w:rFonts w:ascii="黑体" w:eastAsia="黑体" w:hAnsi="黑体" w:hint="eastAsia"/>
          <w:sz w:val="24"/>
        </w:rPr>
        <w:t>【</w:t>
      </w:r>
      <w:r>
        <w:rPr>
          <w:rFonts w:ascii="黑体" w:eastAsia="黑体" w:hAnsi="黑体"/>
          <w:sz w:val="24"/>
        </w:rPr>
        <w:t>科技扶贫</w:t>
      </w:r>
      <w:r>
        <w:rPr>
          <w:rFonts w:ascii="黑体" w:eastAsia="黑体" w:hAnsi="黑体" w:hint="eastAsia"/>
          <w:sz w:val="24"/>
        </w:rPr>
        <w:t>】</w:t>
      </w:r>
      <w:r>
        <w:rPr>
          <w:rFonts w:ascii="宋体" w:hAnsi="宋体" w:hint="eastAsia"/>
          <w:sz w:val="24"/>
        </w:rPr>
        <w:t xml:space="preserve">  202</w:t>
      </w:r>
      <w:r>
        <w:rPr>
          <w:rFonts w:ascii="宋体" w:hAnsi="宋体"/>
          <w:sz w:val="24"/>
        </w:rPr>
        <w:t>2</w:t>
      </w:r>
      <w:r>
        <w:rPr>
          <w:rFonts w:ascii="宋体" w:hAnsi="宋体" w:hint="eastAsia"/>
          <w:sz w:val="24"/>
        </w:rPr>
        <w:t>年，坚持扶贫与扶智相结合，以农业科技园区、星创天地为基地，以科技特派员为抓手开展精准扶贫。采取县域农业专家＋公司技术人员组成技术服务团队模式，充分发挥自身专业特长为工作站辐射区的农民和有技术需求的贫困户进行技术指导，特别加强对有劳动能力和科技需求的贫困户进行点对点、一对一的专业技术培训，累计开展技术指导</w:t>
      </w:r>
      <w:r>
        <w:rPr>
          <w:rFonts w:ascii="宋体" w:hAnsi="宋体"/>
          <w:sz w:val="24"/>
        </w:rPr>
        <w:t>109</w:t>
      </w:r>
      <w:r>
        <w:rPr>
          <w:rFonts w:ascii="宋体" w:hAnsi="宋体" w:hint="eastAsia"/>
          <w:sz w:val="24"/>
        </w:rPr>
        <w:t>次，取得良好效果。</w:t>
      </w:r>
    </w:p>
    <w:p>
      <w:pPr>
        <w:adjustRightInd w:val="0"/>
        <w:snapToGrid w:val="0"/>
        <w:spacing w:line="300" w:lineRule="auto"/>
        <w:rPr>
          <w:rFonts w:ascii="宋体" w:hAnsi="宋体"/>
          <w:sz w:val="24"/>
        </w:rPr>
      </w:pPr>
    </w:p>
    <w:p>
      <w:pPr>
        <w:adjustRightInd w:val="0"/>
        <w:snapToGrid w:val="0"/>
        <w:spacing w:line="300" w:lineRule="auto"/>
        <w:rPr>
          <w:rFonts w:ascii="宋体" w:hAnsi="宋体"/>
          <w:sz w:val="24"/>
        </w:rPr>
      </w:pPr>
      <w:r>
        <w:rPr>
          <w:rFonts w:ascii="黑体" w:eastAsia="黑体" w:hAnsi="黑体" w:hint="eastAsia"/>
          <w:sz w:val="24"/>
        </w:rPr>
        <w:t>【两化融合】</w:t>
      </w:r>
      <w:r>
        <w:rPr>
          <w:rFonts w:ascii="宋体" w:hAnsi="宋体" w:hint="eastAsia"/>
          <w:sz w:val="24"/>
        </w:rPr>
        <w:t>　202</w:t>
      </w:r>
      <w:r>
        <w:rPr>
          <w:rFonts w:ascii="宋体" w:hAnsi="宋体"/>
          <w:sz w:val="24"/>
        </w:rPr>
        <w:t>2</w:t>
      </w:r>
      <w:r>
        <w:rPr>
          <w:rFonts w:ascii="宋体" w:hAnsi="宋体" w:hint="eastAsia"/>
          <w:sz w:val="24"/>
        </w:rPr>
        <w:t>年，</w:t>
      </w:r>
      <w:r>
        <w:rPr>
          <w:rFonts w:ascii="宋体" w:hAnsi="宋体"/>
          <w:sz w:val="24"/>
        </w:rPr>
        <w:t>培育庞恩孚汽车滤清器智能化生产线、驰野玻璃自动化生产线、大台农数字化生产线、河北视窗二期、众合天成等5个工业互联网应用平台</w:t>
      </w:r>
      <w:r>
        <w:rPr>
          <w:rFonts w:ascii="宋体" w:hAnsi="宋体" w:hint="eastAsia"/>
          <w:sz w:val="24"/>
        </w:rPr>
        <w:t>。其中</w:t>
      </w:r>
      <w:r>
        <w:rPr>
          <w:rFonts w:ascii="宋体" w:hAnsi="宋体"/>
          <w:sz w:val="24"/>
        </w:rPr>
        <w:t>庞恩孚汽车滤清器智能化生产线、河北视窗二期成功入选2022年工业互联网创新发展重点培育项目名单。指导宝福连接、东西分析、众合天成、凌旭电子、河北帝业5家企业入统全市电子信息产业平台，高质量完成全县所有规上企业和专精特新企业国家级两化融合整体性评估，工作完成进度全市第一。组织100多家企业参加河北省企业上云讲堂（1～18期）、廊坊市企业上云平台功能介绍和使用等线上培训，</w:t>
      </w:r>
      <w:r>
        <w:rPr>
          <w:rFonts w:ascii="宋体" w:hAnsi="宋体" w:hint="eastAsia"/>
          <w:sz w:val="24"/>
        </w:rPr>
        <w:t>带动</w:t>
      </w:r>
      <w:r>
        <w:rPr>
          <w:rFonts w:ascii="宋体" w:hAnsi="宋体"/>
          <w:sz w:val="24"/>
        </w:rPr>
        <w:t>8</w:t>
      </w:r>
      <w:r>
        <w:rPr>
          <w:rFonts w:ascii="宋体" w:hAnsi="宋体" w:hint="eastAsia"/>
          <w:sz w:val="24"/>
        </w:rPr>
        <w:t>家工业企业上云。</w:t>
      </w:r>
    </w:p>
    <w:p>
      <w:pPr>
        <w:adjustRightInd w:val="0"/>
        <w:snapToGrid w:val="0"/>
        <w:spacing w:line="300" w:lineRule="auto"/>
        <w:rPr>
          <w:rFonts w:ascii="宋体" w:hAnsi="宋体"/>
          <w:sz w:val="24"/>
        </w:rPr>
      </w:pPr>
    </w:p>
    <w:p>
      <w:pPr>
        <w:adjustRightInd w:val="0"/>
        <w:snapToGrid w:val="0"/>
        <w:spacing w:line="300" w:lineRule="auto"/>
        <w:jc w:val="center"/>
        <w:rPr>
          <w:rFonts w:ascii="黑体" w:eastAsia="黑体" w:hAnsi="黑体"/>
          <w:sz w:val="24"/>
        </w:rPr>
      </w:pPr>
      <w:r>
        <w:rPr>
          <w:rFonts w:ascii="黑体" w:eastAsia="黑体" w:hAnsi="黑体" w:hint="eastAsia"/>
          <w:sz w:val="24"/>
        </w:rPr>
        <w:t>202</w:t>
      </w:r>
      <w:r>
        <w:rPr>
          <w:rFonts w:ascii="黑体" w:eastAsia="黑体" w:hAnsi="黑体"/>
          <w:sz w:val="24"/>
        </w:rPr>
        <w:t>2</w:t>
      </w:r>
      <w:r>
        <w:rPr>
          <w:rFonts w:ascii="黑体" w:eastAsia="黑体" w:hAnsi="黑体" w:hint="eastAsia"/>
          <w:sz w:val="24"/>
        </w:rPr>
        <w:t>年永清县科技成果情况一览表</w:t>
      </w:r>
    </w:p>
    <w:tbl>
      <w:tblPr>
        <w:jc w:val="left"/>
        <w:tblW w:w="5000" w:type="pct"/>
        <w:tblBorders>
          <w:top w:val="single" w:sz="4" w:space="0" w:color="auto"/>
          <w:left w:val="none" w:sz="0" w:space="0" w:color="auto"/>
          <w:bottom w:val="single" w:sz="4" w:space="0" w:color="auto"/>
          <w:right w:val="none" w:sz="0" w:space="0" w:color="auto"/>
          <w:insideH w:val="single" w:sz="4" w:space="0" w:color="auto"/>
          <w:insideV w:val="single" w:sz="4" w:space="0" w:color="auto"/>
        </w:tblBorders>
        <w:tblCellMar>
          <w:top w:w="0" w:type="dxa"/>
          <w:left w:w="108" w:type="dxa"/>
          <w:bottom w:w="0" w:type="dxa"/>
          <w:right w:w="108" w:type="dxa"/>
        </w:tblCellMar>
      </w:tblPr>
      <w:tblGrid>
        <w:gridCol w:w="2158"/>
        <w:gridCol w:w="1842"/>
        <w:gridCol w:w="1000"/>
        <w:gridCol w:w="2965"/>
        <w:gridCol w:w="935"/>
      </w:tblGrid>
      <w:tr>
        <w:trPr>
          <w:trHeight w:val="390"/>
        </w:trPr>
        <w:tc>
          <w:tcPr>
            <w:tcW w:w="1212" w:type="pct"/>
            <w:tcMar>
              <w:left w:w="28" w:type="dxa"/>
              <w:right w:w="28" w:type="dxa"/>
            </w:tcMar>
            <w:vAlign w:val="center"/>
          </w:tcPr>
          <w:p>
            <w:pPr>
              <w:adjustRightInd w:val="0"/>
              <w:snapToGrid w:val="0"/>
              <w:spacing w:line="300" w:lineRule="auto"/>
              <w:jc w:val="center"/>
              <w:rPr>
                <w:rFonts w:ascii="宋体" w:hAnsi="宋体"/>
                <w:szCs w:val="21"/>
              </w:rPr>
            </w:pPr>
            <w:r>
              <w:rPr>
                <w:rFonts w:ascii="宋体" w:hAnsi="宋体" w:hint="eastAsia"/>
                <w:szCs w:val="21"/>
              </w:rPr>
              <w:t>成果名称</w:t>
            </w:r>
          </w:p>
        </w:tc>
        <w:tc>
          <w:tcPr>
            <w:tcW w:w="1035" w:type="pct"/>
            <w:tcMar>
              <w:left w:w="28" w:type="dxa"/>
              <w:right w:w="28" w:type="dxa"/>
            </w:tcMar>
            <w:vAlign w:val="center"/>
          </w:tcPr>
          <w:p>
            <w:pPr>
              <w:adjustRightInd w:val="0"/>
              <w:snapToGrid w:val="0"/>
              <w:spacing w:line="300" w:lineRule="auto"/>
              <w:jc w:val="center"/>
              <w:rPr>
                <w:rFonts w:ascii="宋体" w:hAnsi="宋体"/>
                <w:szCs w:val="21"/>
              </w:rPr>
            </w:pPr>
            <w:r>
              <w:rPr>
                <w:rFonts w:ascii="宋体" w:hAnsi="宋体" w:hint="eastAsia"/>
                <w:szCs w:val="21"/>
              </w:rPr>
              <w:t>完成单位</w:t>
            </w:r>
          </w:p>
        </w:tc>
        <w:tc>
          <w:tcPr>
            <w:tcW w:w="562" w:type="pct"/>
            <w:tcMar>
              <w:left w:w="28" w:type="dxa"/>
              <w:right w:w="28" w:type="dxa"/>
            </w:tcMar>
            <w:vAlign w:val="center"/>
          </w:tcPr>
          <w:p>
            <w:pPr>
              <w:adjustRightInd w:val="0"/>
              <w:snapToGrid w:val="0"/>
              <w:spacing w:line="300" w:lineRule="auto"/>
              <w:jc w:val="center"/>
              <w:rPr>
                <w:rFonts w:ascii="宋体" w:hAnsi="宋体"/>
                <w:szCs w:val="21"/>
              </w:rPr>
            </w:pPr>
            <w:r>
              <w:rPr>
                <w:rFonts w:ascii="宋体" w:hAnsi="宋体" w:hint="eastAsia"/>
                <w:szCs w:val="21"/>
              </w:rPr>
              <w:t>完成时间</w:t>
            </w:r>
          </w:p>
        </w:tc>
        <w:tc>
          <w:tcPr>
            <w:tcW w:w="1666" w:type="pct"/>
            <w:tcMar>
              <w:left w:w="28" w:type="dxa"/>
              <w:right w:w="28" w:type="dxa"/>
            </w:tcMar>
            <w:vAlign w:val="center"/>
          </w:tcPr>
          <w:p>
            <w:pPr>
              <w:adjustRightInd w:val="0"/>
              <w:snapToGrid w:val="0"/>
              <w:spacing w:line="300" w:lineRule="auto"/>
              <w:jc w:val="center"/>
              <w:rPr>
                <w:rFonts w:ascii="宋体" w:hAnsi="宋体"/>
                <w:szCs w:val="21"/>
              </w:rPr>
            </w:pPr>
            <w:r>
              <w:rPr>
                <w:rFonts w:ascii="宋体" w:hAnsi="宋体" w:hint="eastAsia"/>
                <w:szCs w:val="21"/>
              </w:rPr>
              <w:t>主研人员</w:t>
            </w:r>
          </w:p>
        </w:tc>
        <w:tc>
          <w:tcPr>
            <w:tcW w:w="525" w:type="pct"/>
            <w:tcMar>
              <w:left w:w="28" w:type="dxa"/>
              <w:right w:w="28" w:type="dxa"/>
            </w:tcMar>
            <w:vAlign w:val="center"/>
          </w:tcPr>
          <w:p>
            <w:pPr>
              <w:adjustRightInd w:val="0"/>
              <w:snapToGrid w:val="0"/>
              <w:spacing w:line="300" w:lineRule="auto"/>
              <w:jc w:val="center"/>
              <w:rPr>
                <w:rFonts w:ascii="宋体" w:hAnsi="宋体"/>
                <w:szCs w:val="21"/>
              </w:rPr>
            </w:pPr>
            <w:r>
              <w:rPr>
                <w:rFonts w:ascii="宋体" w:hAnsi="宋体" w:hint="eastAsia"/>
                <w:szCs w:val="21"/>
              </w:rPr>
              <w:t>登记情况</w:t>
            </w:r>
          </w:p>
        </w:tc>
      </w:tr>
      <w:tr>
        <w:trPr>
          <w:trHeight w:val="790"/>
        </w:trPr>
        <w:tc>
          <w:tcPr>
            <w:tcW w:w="1212" w:type="pct"/>
            <w:tcBorders>
              <w:top w:val="single" w:sz="4" w:space="0" w:color="auto"/>
              <w:right w:val="single" w:sz="4" w:space="0" w:color="auto"/>
            </w:tcBorders>
            <w:tcMar>
              <w:left w:w="28" w:type="dxa"/>
              <w:right w:w="28" w:type="dxa"/>
            </w:tcMar>
            <w:vAlign w:val="center"/>
          </w:tcPr>
          <w:p>
            <w:pPr>
              <w:adjustRightInd w:val="0"/>
              <w:snapToGrid w:val="0"/>
              <w:spacing w:line="300" w:lineRule="auto"/>
              <w:rPr>
                <w:rFonts w:ascii="宋体" w:hAnsi="宋体"/>
                <w:szCs w:val="21"/>
              </w:rPr>
            </w:pPr>
            <w:r>
              <w:rPr>
                <w:rFonts w:ascii="宋体" w:hAnsi="宋体"/>
                <w:szCs w:val="21"/>
              </w:rPr>
              <w:t>温室鱼菜共生生态循环种养技术规范</w:t>
            </w:r>
          </w:p>
        </w:tc>
        <w:tc>
          <w:tcPr>
            <w:tcW w:w="1035" w:type="pct"/>
            <w:tcBorders>
              <w:left w:val="single" w:sz="4" w:space="0" w:color="auto"/>
              <w:right w:val="single" w:sz="4" w:space="0" w:color="auto"/>
            </w:tcBorders>
            <w:tcMar>
              <w:left w:w="28" w:type="dxa"/>
              <w:right w:w="28" w:type="dxa"/>
            </w:tcMar>
            <w:vAlign w:val="center"/>
          </w:tcPr>
          <w:p>
            <w:pPr>
              <w:adjustRightInd w:val="0"/>
              <w:snapToGrid w:val="0"/>
              <w:spacing w:line="300" w:lineRule="auto"/>
              <w:rPr>
                <w:rFonts w:ascii="宋体" w:hAnsi="宋体"/>
                <w:szCs w:val="21"/>
              </w:rPr>
            </w:pPr>
            <w:r>
              <w:rPr>
                <w:rFonts w:ascii="宋体" w:hAnsi="宋体"/>
                <w:szCs w:val="21"/>
              </w:rPr>
              <w:t>永清县渔耕农业科技有限公司</w:t>
            </w:r>
          </w:p>
        </w:tc>
        <w:tc>
          <w:tcPr>
            <w:tcW w:w="562" w:type="pct"/>
            <w:tcBorders>
              <w:left w:val="single" w:sz="4" w:space="0" w:color="auto"/>
              <w:right w:val="single" w:sz="4" w:space="0" w:color="auto"/>
            </w:tcBorders>
            <w:tcMar>
              <w:left w:w="28" w:type="dxa"/>
              <w:right w:w="28" w:type="dxa"/>
            </w:tcMar>
            <w:vAlign w:val="center"/>
          </w:tcPr>
          <w:p>
            <w:pPr>
              <w:adjustRightInd w:val="0"/>
              <w:snapToGrid w:val="0"/>
              <w:spacing w:line="300" w:lineRule="auto"/>
              <w:jc w:val="center"/>
              <w:rPr>
                <w:rFonts w:ascii="宋体" w:hAnsi="宋体"/>
                <w:szCs w:val="21"/>
              </w:rPr>
            </w:pPr>
            <w:r>
              <w:rPr>
                <w:rFonts w:ascii="宋体" w:hAnsi="宋体"/>
                <w:szCs w:val="21"/>
              </w:rPr>
              <w:t>2022</w:t>
            </w:r>
            <w:r>
              <w:rPr>
                <w:rFonts w:ascii="宋体" w:hAnsi="宋体" w:hint="eastAsia"/>
                <w:szCs w:val="21"/>
              </w:rPr>
              <w:t>.</w:t>
            </w:r>
            <w:r>
              <w:rPr>
                <w:rFonts w:ascii="宋体" w:hAnsi="宋体"/>
                <w:szCs w:val="21"/>
              </w:rPr>
              <w:t>10</w:t>
            </w:r>
          </w:p>
        </w:tc>
        <w:tc>
          <w:tcPr>
            <w:tcW w:w="1666" w:type="pct"/>
            <w:tcBorders>
              <w:left w:val="single" w:sz="4" w:space="0" w:color="auto"/>
              <w:right w:val="single" w:sz="4" w:space="0" w:color="auto"/>
            </w:tcBorders>
            <w:tcMar>
              <w:left w:w="28" w:type="dxa"/>
              <w:right w:w="28" w:type="dxa"/>
            </w:tcMar>
            <w:vAlign w:val="center"/>
          </w:tcPr>
          <w:p>
            <w:pPr>
              <w:adjustRightInd w:val="0"/>
              <w:snapToGrid w:val="0"/>
              <w:spacing w:line="300" w:lineRule="auto"/>
              <w:rPr>
                <w:rFonts w:ascii="宋体" w:hAnsi="宋体"/>
                <w:szCs w:val="21"/>
              </w:rPr>
            </w:pPr>
            <w:r>
              <w:rPr>
                <w:rFonts w:ascii="宋体" w:hAnsi="宋体"/>
                <w:szCs w:val="21"/>
              </w:rPr>
              <w:t>邢宪利</w:t>
            </w:r>
            <w:r>
              <w:rPr>
                <w:rFonts w:ascii="宋体" w:hAnsi="宋体" w:hint="eastAsia"/>
                <w:szCs w:val="21"/>
              </w:rPr>
              <w:t>、</w:t>
            </w:r>
            <w:r>
              <w:rPr>
                <w:rFonts w:ascii="宋体" w:hAnsi="宋体"/>
                <w:szCs w:val="21"/>
              </w:rPr>
              <w:t>刘俊强</w:t>
            </w:r>
            <w:r>
              <w:rPr>
                <w:rFonts w:ascii="宋体" w:hAnsi="宋体" w:hint="eastAsia"/>
                <w:szCs w:val="21"/>
              </w:rPr>
              <w:t>、</w:t>
            </w:r>
            <w:r>
              <w:rPr>
                <w:rFonts w:ascii="宋体" w:hAnsi="宋体"/>
                <w:szCs w:val="21"/>
              </w:rPr>
              <w:t>张素芬</w:t>
            </w:r>
            <w:r>
              <w:rPr>
                <w:rFonts w:ascii="宋体" w:hAnsi="宋体" w:hint="eastAsia"/>
                <w:szCs w:val="21"/>
              </w:rPr>
              <w:t>、</w:t>
            </w:r>
            <w:r>
              <w:rPr>
                <w:rFonts w:ascii="宋体" w:hAnsi="宋体"/>
                <w:szCs w:val="21"/>
              </w:rPr>
              <w:t>司文辉</w:t>
            </w:r>
            <w:r>
              <w:rPr>
                <w:rFonts w:ascii="宋体" w:hAnsi="宋体" w:hint="eastAsia"/>
                <w:szCs w:val="21"/>
              </w:rPr>
              <w:t>、</w:t>
            </w:r>
            <w:r>
              <w:rPr>
                <w:rFonts w:ascii="宋体" w:hAnsi="宋体"/>
                <w:szCs w:val="21"/>
              </w:rPr>
              <w:t>苑雪静</w:t>
            </w:r>
            <w:r>
              <w:rPr>
                <w:rFonts w:ascii="宋体" w:hAnsi="宋体" w:hint="eastAsia"/>
                <w:szCs w:val="21"/>
              </w:rPr>
              <w:t>、</w:t>
            </w:r>
            <w:r>
              <w:rPr>
                <w:rFonts w:ascii="宋体" w:hAnsi="宋体"/>
                <w:szCs w:val="21"/>
              </w:rPr>
              <w:t>王丽仙</w:t>
            </w:r>
            <w:r>
              <w:rPr>
                <w:rFonts w:ascii="宋体" w:hAnsi="宋体" w:hint="eastAsia"/>
                <w:szCs w:val="21"/>
              </w:rPr>
              <w:t>、</w:t>
            </w:r>
            <w:r>
              <w:rPr>
                <w:rFonts w:ascii="宋体" w:hAnsi="宋体"/>
                <w:szCs w:val="21"/>
              </w:rPr>
              <w:t>康静然</w:t>
            </w:r>
            <w:r>
              <w:rPr>
                <w:rFonts w:ascii="宋体" w:hAnsi="宋体" w:hint="eastAsia"/>
                <w:szCs w:val="21"/>
              </w:rPr>
              <w:t>、王宇、曹建波、任永光</w:t>
            </w:r>
          </w:p>
        </w:tc>
        <w:tc>
          <w:tcPr>
            <w:tcW w:w="525" w:type="pct"/>
            <w:tcBorders>
              <w:top w:val="single" w:sz="4" w:space="0" w:color="auto"/>
              <w:left w:val="single" w:sz="4" w:space="0" w:color="auto"/>
            </w:tcBorders>
            <w:tcMar>
              <w:left w:w="28" w:type="dxa"/>
              <w:right w:w="28" w:type="dxa"/>
            </w:tcMar>
            <w:vAlign w:val="center"/>
          </w:tcPr>
          <w:p>
            <w:pPr>
              <w:adjustRightInd w:val="0"/>
              <w:snapToGrid w:val="0"/>
              <w:spacing w:line="300" w:lineRule="auto"/>
              <w:jc w:val="center"/>
              <w:rPr>
                <w:rFonts w:ascii="宋体" w:hAnsi="宋体" w:hint="eastAsia"/>
                <w:szCs w:val="21"/>
              </w:rPr>
            </w:pPr>
            <w:r>
              <w:rPr>
                <w:rFonts w:ascii="宋体" w:hAnsi="宋体"/>
                <w:szCs w:val="21"/>
              </w:rPr>
              <w:t>同意</w:t>
            </w:r>
          </w:p>
          <w:p>
            <w:pPr>
              <w:adjustRightInd w:val="0"/>
              <w:snapToGrid w:val="0"/>
              <w:spacing w:line="300" w:lineRule="auto"/>
              <w:jc w:val="center"/>
              <w:rPr>
                <w:rFonts w:ascii="宋体" w:hAnsi="宋体"/>
                <w:szCs w:val="21"/>
              </w:rPr>
            </w:pPr>
            <w:r>
              <w:rPr>
                <w:rFonts w:ascii="宋体" w:hAnsi="宋体"/>
                <w:szCs w:val="21"/>
              </w:rPr>
              <w:t>登记</w:t>
            </w:r>
          </w:p>
        </w:tc>
      </w:tr>
      <w:tr>
        <w:trPr>
          <w:trHeight w:val="790"/>
        </w:trPr>
        <w:tc>
          <w:tcPr>
            <w:tcW w:w="1212" w:type="pct"/>
            <w:tcBorders>
              <w:top w:val="single" w:sz="4" w:space="0" w:color="auto"/>
              <w:right w:val="single" w:sz="4" w:space="0" w:color="auto"/>
            </w:tcBorders>
            <w:tcMar>
              <w:left w:w="28" w:type="dxa"/>
              <w:right w:w="28" w:type="dxa"/>
            </w:tcMar>
            <w:vAlign w:val="center"/>
          </w:tcPr>
          <w:p>
            <w:pPr>
              <w:adjustRightInd w:val="0"/>
              <w:snapToGrid w:val="0"/>
              <w:spacing w:line="300" w:lineRule="auto"/>
              <w:rPr>
                <w:rFonts w:ascii="宋体" w:hAnsi="宋体"/>
                <w:szCs w:val="21"/>
              </w:rPr>
            </w:pPr>
            <w:r>
              <w:rPr>
                <w:rFonts w:ascii="宋体" w:hAnsi="宋体"/>
                <w:szCs w:val="21"/>
              </w:rPr>
              <w:t>一种温室鱼菜共生种养循环生态系统</w:t>
            </w:r>
          </w:p>
          <w:p>
            <w:pPr>
              <w:adjustRightInd w:val="0"/>
              <w:snapToGrid w:val="0"/>
              <w:spacing w:line="300" w:lineRule="auto"/>
              <w:rPr>
                <w:rFonts w:ascii="宋体" w:hAnsi="宋体"/>
                <w:szCs w:val="21"/>
              </w:rPr>
            </w:pPr>
          </w:p>
        </w:tc>
        <w:tc>
          <w:tcPr>
            <w:tcW w:w="1035" w:type="pct"/>
            <w:tcBorders>
              <w:left w:val="single" w:sz="4" w:space="0" w:color="auto"/>
              <w:right w:val="single" w:sz="4" w:space="0" w:color="auto"/>
            </w:tcBorders>
            <w:tcMar>
              <w:left w:w="28" w:type="dxa"/>
              <w:right w:w="28" w:type="dxa"/>
            </w:tcMar>
            <w:vAlign w:val="center"/>
          </w:tcPr>
          <w:p>
            <w:pPr>
              <w:adjustRightInd w:val="0"/>
              <w:snapToGrid w:val="0"/>
              <w:spacing w:line="300" w:lineRule="auto"/>
              <w:rPr>
                <w:rFonts w:ascii="宋体" w:hAnsi="宋体"/>
                <w:szCs w:val="21"/>
              </w:rPr>
            </w:pPr>
            <w:r>
              <w:rPr>
                <w:rFonts w:ascii="宋体" w:hAnsi="宋体"/>
                <w:szCs w:val="21"/>
              </w:rPr>
              <w:t>永清县农业农村局</w:t>
            </w:r>
          </w:p>
        </w:tc>
        <w:tc>
          <w:tcPr>
            <w:tcW w:w="562" w:type="pct"/>
            <w:tcBorders>
              <w:left w:val="single" w:sz="4" w:space="0" w:color="auto"/>
              <w:right w:val="single" w:sz="4" w:space="0" w:color="auto"/>
            </w:tcBorders>
            <w:tcMar>
              <w:left w:w="28" w:type="dxa"/>
              <w:right w:w="28" w:type="dxa"/>
            </w:tcMar>
            <w:vAlign w:val="center"/>
          </w:tcPr>
          <w:p>
            <w:pPr>
              <w:adjustRightInd w:val="0"/>
              <w:snapToGrid w:val="0"/>
              <w:spacing w:line="300" w:lineRule="auto"/>
              <w:jc w:val="center"/>
              <w:rPr>
                <w:rFonts w:ascii="宋体" w:hAnsi="宋体"/>
                <w:szCs w:val="21"/>
              </w:rPr>
            </w:pPr>
            <w:r>
              <w:rPr>
                <w:rFonts w:ascii="宋体" w:hAnsi="宋体"/>
                <w:szCs w:val="21"/>
              </w:rPr>
              <w:t>2022</w:t>
            </w:r>
            <w:r>
              <w:rPr>
                <w:rFonts w:ascii="宋体" w:hAnsi="宋体" w:hint="eastAsia"/>
                <w:szCs w:val="21"/>
              </w:rPr>
              <w:t>.</w:t>
            </w:r>
            <w:r>
              <w:rPr>
                <w:rFonts w:ascii="宋体" w:hAnsi="宋体"/>
                <w:szCs w:val="21"/>
              </w:rPr>
              <w:t>04</w:t>
            </w:r>
          </w:p>
        </w:tc>
        <w:tc>
          <w:tcPr>
            <w:tcW w:w="1666" w:type="pct"/>
            <w:tcBorders>
              <w:left w:val="single" w:sz="4" w:space="0" w:color="auto"/>
              <w:right w:val="single" w:sz="4" w:space="0" w:color="auto"/>
            </w:tcBorders>
            <w:tcMar>
              <w:left w:w="28" w:type="dxa"/>
              <w:right w:w="28" w:type="dxa"/>
            </w:tcMar>
            <w:vAlign w:val="center"/>
          </w:tcPr>
          <w:p>
            <w:pPr>
              <w:adjustRightInd w:val="0"/>
              <w:snapToGrid w:val="0"/>
              <w:spacing w:line="300" w:lineRule="auto"/>
              <w:rPr>
                <w:rFonts w:ascii="宋体" w:hAnsi="宋体"/>
                <w:szCs w:val="21"/>
              </w:rPr>
            </w:pPr>
            <w:r>
              <w:rPr>
                <w:rFonts w:ascii="宋体" w:hAnsi="宋体"/>
                <w:szCs w:val="21"/>
              </w:rPr>
              <w:t>刘俊强</w:t>
            </w:r>
            <w:r>
              <w:rPr>
                <w:rFonts w:ascii="宋体" w:hAnsi="宋体" w:hint="eastAsia"/>
                <w:szCs w:val="21"/>
              </w:rPr>
              <w:t>、</w:t>
            </w:r>
            <w:r>
              <w:rPr>
                <w:rFonts w:ascii="宋体" w:hAnsi="宋体"/>
                <w:szCs w:val="21"/>
              </w:rPr>
              <w:t>张素芬</w:t>
            </w:r>
            <w:r>
              <w:rPr>
                <w:rFonts w:ascii="宋体" w:hAnsi="宋体" w:hint="eastAsia"/>
                <w:szCs w:val="21"/>
              </w:rPr>
              <w:t>、</w:t>
            </w:r>
            <w:r>
              <w:rPr>
                <w:rFonts w:ascii="宋体" w:hAnsi="宋体"/>
                <w:szCs w:val="21"/>
              </w:rPr>
              <w:t>邢宪利</w:t>
            </w:r>
            <w:r>
              <w:rPr>
                <w:rFonts w:ascii="宋体" w:hAnsi="宋体" w:hint="eastAsia"/>
                <w:szCs w:val="21"/>
              </w:rPr>
              <w:t>、张海峰、</w:t>
            </w:r>
            <w:r>
              <w:rPr>
                <w:rFonts w:ascii="宋体" w:hAnsi="宋体"/>
                <w:szCs w:val="21"/>
              </w:rPr>
              <w:t>苑雪静</w:t>
            </w:r>
            <w:r>
              <w:rPr>
                <w:rFonts w:ascii="宋体" w:hAnsi="宋体" w:hint="eastAsia"/>
                <w:szCs w:val="21"/>
              </w:rPr>
              <w:t>、</w:t>
            </w:r>
            <w:r>
              <w:rPr>
                <w:rFonts w:ascii="宋体" w:hAnsi="宋体"/>
                <w:szCs w:val="21"/>
              </w:rPr>
              <w:t>曹建波</w:t>
            </w:r>
            <w:r>
              <w:rPr>
                <w:rFonts w:ascii="宋体" w:hAnsi="宋体" w:hint="eastAsia"/>
                <w:szCs w:val="21"/>
              </w:rPr>
              <w:t>、</w:t>
            </w:r>
            <w:r>
              <w:rPr>
                <w:rFonts w:ascii="宋体" w:hAnsi="宋体"/>
                <w:szCs w:val="21"/>
              </w:rPr>
              <w:t>康静然</w:t>
            </w:r>
            <w:r>
              <w:rPr>
                <w:rFonts w:ascii="宋体" w:hAnsi="宋体" w:hint="eastAsia"/>
                <w:szCs w:val="21"/>
              </w:rPr>
              <w:t>、</w:t>
            </w:r>
            <w:r>
              <w:rPr>
                <w:rFonts w:ascii="宋体" w:hAnsi="宋体"/>
                <w:szCs w:val="21"/>
              </w:rPr>
              <w:t>肖德颖</w:t>
            </w:r>
            <w:r>
              <w:rPr>
                <w:rFonts w:ascii="宋体" w:hAnsi="宋体" w:hint="eastAsia"/>
                <w:szCs w:val="21"/>
              </w:rPr>
              <w:t>、</w:t>
            </w:r>
            <w:r>
              <w:rPr>
                <w:rFonts w:ascii="宋体" w:hAnsi="宋体"/>
                <w:szCs w:val="21"/>
              </w:rPr>
              <w:t>刘奕呈</w:t>
            </w:r>
          </w:p>
        </w:tc>
        <w:tc>
          <w:tcPr>
            <w:tcW w:w="525" w:type="pct"/>
            <w:tcBorders>
              <w:top w:val="single" w:sz="4" w:space="0" w:color="auto"/>
              <w:left w:val="single" w:sz="4" w:space="0" w:color="auto"/>
            </w:tcBorders>
            <w:tcMar>
              <w:left w:w="28" w:type="dxa"/>
              <w:right w:w="28" w:type="dxa"/>
            </w:tcMar>
            <w:vAlign w:val="center"/>
          </w:tcPr>
          <w:p>
            <w:pPr>
              <w:adjustRightInd w:val="0"/>
              <w:snapToGrid w:val="0"/>
              <w:spacing w:line="300" w:lineRule="auto"/>
              <w:jc w:val="center"/>
              <w:rPr>
                <w:rFonts w:ascii="宋体" w:hAnsi="宋体" w:hint="eastAsia"/>
                <w:szCs w:val="21"/>
              </w:rPr>
            </w:pPr>
            <w:r>
              <w:rPr>
                <w:rFonts w:ascii="宋体" w:hAnsi="宋体"/>
                <w:szCs w:val="21"/>
              </w:rPr>
              <w:t>同意</w:t>
            </w:r>
          </w:p>
          <w:p>
            <w:pPr>
              <w:adjustRightInd w:val="0"/>
              <w:snapToGrid w:val="0"/>
              <w:spacing w:line="300" w:lineRule="auto"/>
              <w:jc w:val="center"/>
              <w:rPr>
                <w:rFonts w:ascii="宋体" w:hAnsi="宋体"/>
                <w:szCs w:val="21"/>
              </w:rPr>
            </w:pPr>
            <w:r>
              <w:rPr>
                <w:rFonts w:ascii="宋体" w:hAnsi="宋体"/>
                <w:szCs w:val="21"/>
              </w:rPr>
              <w:t>登记</w:t>
            </w:r>
          </w:p>
        </w:tc>
      </w:tr>
    </w:tbl>
    <w:p>
      <w:pPr>
        <w:adjustRightInd w:val="0"/>
        <w:snapToGrid w:val="0"/>
        <w:spacing w:line="300" w:lineRule="auto"/>
        <w:jc w:val="right"/>
        <w:rPr>
          <w:rFonts w:ascii="楷体" w:eastAsia="楷体" w:hAnsi="楷体"/>
          <w:sz w:val="24"/>
        </w:rPr>
      </w:pPr>
      <w:bookmarkStart w:id="0" w:name="_GoBack"/>
      <w:bookmarkEnd w:id="0"/>
    </w:p>
    <w:p>
      <w:pPr>
        <w:adjustRightInd w:val="0"/>
        <w:snapToGrid w:val="0"/>
        <w:spacing w:line="300" w:lineRule="auto"/>
        <w:rPr>
          <w:rFonts w:ascii="宋体" w:hAnsi="宋体"/>
          <w:sz w:val="24"/>
        </w:rPr>
      </w:pPr>
    </w:p>
    <w:sectPr>
      <w:footerReference w:type="default" r:id="rId2"/>
      <w:pgSz w:w="11906" w:h="16838"/>
      <w:pgMar w:top="1701" w:right="1531" w:bottom="1701" w:left="1531"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黑体">
    <w:altName w:val="SimHei"/>
    <w:panose1 w:val="02010609060101010101"/>
    <w:charset w:val="86"/>
    <w:family w:val="modern"/>
    <w:pitch w:val="variable"/>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variable"/>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variable"/>
    <w:sig w:usb0="00000001" w:usb1="080E0000" w:usb2="00000010" w:usb3="00000000" w:csb0="0004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pPr>
    <w:r>
      <mc:AlternateContent>
        <mc:Choice Requires="wps">
          <w:drawing>
            <wp:anchor distT="0" distB="0" distL="114297" distR="114297" simplePos="0" relativeHeight="12" behindDoc="0" locked="0" layoutInCell="1" hidden="0" allowOverlap="1">
              <wp:simplePos x="0" y="0"/>
              <wp:positionH relativeFrom="margin">
                <wp:align>center</wp:align>
              </wp:positionH>
              <wp:positionV relativeFrom="paragraph">
                <wp:posOffset>0</wp:posOffset>
              </wp:positionV>
              <wp:extent cx="57150" cy="131445"/>
              <wp:effectExtent l="0" t="0" r="0" b="0"/>
              <wp:wrapNone/>
              <wp:docPr id="1" name="_x0000_s1026 3"/>
              <wp:cNvGraphicFramePr>
                <a:graphicFrameLocks noChangeAspect="0"/>
              </wp:cNvGraphicFramePr>
              <a:graphic>
                <a:graphicData uri="http://schemas.microsoft.com/office/word/2010/wordprocessingShape">
                  <wps:wsp>
                    <wps:cNvSpPr/>
                    <wps:spPr>
                      <a:xfrm rot="0">
                        <a:off x="0" y="0"/>
                        <a:ext cx="57150" cy="131445"/>
                      </a:xfrm>
                      <a:prstGeom prst="rect"/>
                      <a:noFill/>
                      <a:ln w="9525" cmpd="sng" cap="flat">
                        <a:noFill/>
                        <a:prstDash val="solid"/>
                        <a:miter/>
                      </a:ln>
                    </wps:spPr>
                    <wps:txbx id="2">
                      <w:txbxContent>
                        <w:p>
                          <w:pPr>
                            <w:pStyle w:val="16"/>
                            <w:tabs>
                              <w:tab w:val="center" w:pos="4153"/>
                              <w:tab w:val="right" w:pos="8306"/>
                            </w:tabs>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vert="horz" wrap="none" lIns="0" tIns="0" rIns="0" bIns="0" anchor="t" anchorCtr="0" upright="1">
                      <a:spAutoFit/>
                    </wps:bodyPr>
                  </wps:wsp>
                </a:graphicData>
              </a:graphic>
            </wp:anchor>
          </w:drawing>
        </mc:Choice>
        <mc:Fallback>
          <w:pict>
            <v:rect type="#_x0000_t1" id="_x0000_s1026 3 3" o:spid="_x0000_s3" filled="f" stroked="f" style="position:absolute;margin-left:0.0pt;margin-top:0.0pt;width:4.5pt;height:10.35pt;z-index:12;mso-position-horizontal:center;mso-position-horizontal-relative:margin;mso-position-vertical:absolute;mso-wrap-distance-left:8.99983pt;mso-wrap-distance-right:8.99983pt;mso-wrap-style:none;">
              <v:stroke color="#000000"/>
              <v:textbox id="848" inset="0mm,0mm,0mm,0mm" o:insetmode="custom" style="layout-flow:horizontal;v-text-anchor:top;mso-fit-shape-to-text:t;">
                <w:txbxContent>
                  <w:p>
                    <w:pPr>
                      <w:pStyle w:val="16"/>
                      <w:tabs>
                        <w:tab w:val="center" w:pos="4153"/>
                        <w:tab w:val="right" w:pos="8306"/>
                      </w:tabs>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rect>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2"/>
  </w:compat>
  <w:docVars>
    <w:docVar w:name="commondata" w:val="eyJoZGlkIjoiZDhmOGQwYTIyMTM4ODM3ZDdlZTJhNzk0MWE1YjI1ZmE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next w:val="1"/>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eastAsia="黑体"/>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Plain Text"/>
    <w:pPr>
      <w:widowControl w:val="0"/>
      <w:spacing w:line="360" w:lineRule="auto"/>
      <w:ind w:firstLineChars="200" w:firstLine="200"/>
      <w:jc w:val="both"/>
    </w:pPr>
    <w:rPr>
      <w:rFonts w:ascii="仿宋_GB2312" w:eastAsia="宋体" w:cs="Times New Roman" w:hAnsi="仿宋_GB2312"/>
      <w:sz w:val="24"/>
      <w:szCs w:val="20"/>
      <w:lang w:val="en-US" w:eastAsia="zh-CN" w:bidi="ar-SA"/>
    </w:rPr>
  </w:style>
  <w:style w:type="paragraph" w:styleId="16">
    <w:name w:val="footer"/>
    <w:basedOn w:val="0"/>
    <w:pPr>
      <w:tabs>
        <w:tab w:val="center" w:pos="4153"/>
        <w:tab w:val="right" w:pos="8306"/>
      </w:tabs>
      <w:snapToGrid w:val="0"/>
      <w:jc w:val="left"/>
    </w:pPr>
    <w:rPr>
      <w:sz w:val="18"/>
    </w:rPr>
  </w:style>
  <w:style w:type="paragraph" w:styleId="17">
    <w:name w:val="header"/>
    <w:basedOn w:val="0"/>
    <w:pPr>
      <w:tabs>
        <w:tab w:val="center" w:pos="4153"/>
        <w:tab w:val="right" w:pos="8306"/>
      </w:tabs>
      <w:snapToGrid w:val="0"/>
    </w:pPr>
    <w:rPr>
      <w:sz w:val="18"/>
    </w:rPr>
  </w:style>
  <w:style w:type="character" w:styleId="18">
    <w:name w:val="FollowedHyperlink"/>
    <w:basedOn w:val="10"/>
    <w:rPr>
      <w:color w:val="800080"/>
      <w:u w:val="single"/>
    </w:rPr>
  </w:style>
  <w:style w:type="character" w:styleId="19">
    <w:name w:val="Hyperlink"/>
    <w:basedOn w:val="10"/>
    <w:rPr>
      <w:color w:val="0000FF"/>
      <w:u w:val="single"/>
    </w:rPr>
  </w:style>
  <w:style w:type="paragraph" w:customStyle="1" w:styleId="20">
    <w:name w:val="xl49"/>
    <w:basedOn w:val="0"/>
    <w:pPr>
      <w:widowControl/>
      <w:spacing w:before="100" w:after="100"/>
      <w:jc w:val="center"/>
      <w:textAlignment w:val="center"/>
    </w:pPr>
    <w:rPr>
      <w:rFonts w:ascii="黑体" w:eastAsia="黑体" w:hAnsi="宋体"/>
      <w:b/>
      <w:sz w:val="32"/>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6E1D9405-D0AC-4889-B434-83B07B0DA9B1}">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97</TotalTime>
  <Application>Yozo_Office27021597764231179</Application>
  <Pages>2</Pages>
  <Words>0</Words>
  <Characters>1095</Characters>
  <Lines>0</Lines>
  <Paragraphs>20</Paragraphs>
  <CharactersWithSpaces>1460</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zhaizihan</dc:creator>
  <cp:lastModifiedBy>Administrator</cp:lastModifiedBy>
  <cp:revision>31</cp:revision>
  <dcterms:created xsi:type="dcterms:W3CDTF">2014-10-29T12:08:00Z</dcterms:created>
  <dcterms:modified xsi:type="dcterms:W3CDTF">2023-10-17T07:07:22Z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A941A8FDB7A34DC6957681B8CEA0E7A0</vt:lpwstr>
  </property>
</Properties>
</file>