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54" w:rsidRPr="008965A5" w:rsidRDefault="0099613E">
      <w:pPr>
        <w:jc w:val="center"/>
        <w:rPr>
          <w:rFonts w:ascii="黑体" w:eastAsia="黑体" w:hAnsi="黑体"/>
          <w:b/>
          <w:sz w:val="32"/>
          <w:szCs w:val="32"/>
        </w:rPr>
      </w:pPr>
      <w:r w:rsidRPr="008965A5"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 w:rsidRPr="008965A5">
        <w:rPr>
          <w:rFonts w:ascii="黑体" w:eastAsia="黑体" w:hAnsi="黑体" w:hint="eastAsia"/>
          <w:b/>
          <w:sz w:val="32"/>
          <w:szCs w:val="32"/>
        </w:rPr>
        <w:t>审批局</w:t>
      </w:r>
      <w:bookmarkStart w:id="0" w:name="_GoBack"/>
      <w:bookmarkEnd w:id="0"/>
      <w:proofErr w:type="gramEnd"/>
      <w:r w:rsidR="005F451F" w:rsidRPr="008965A5">
        <w:rPr>
          <w:rFonts w:ascii="黑体" w:eastAsia="黑体" w:hAnsi="黑体" w:hint="eastAsia"/>
          <w:b/>
          <w:sz w:val="32"/>
          <w:szCs w:val="32"/>
        </w:rPr>
        <w:t>广告发布登记</w:t>
      </w:r>
      <w:r w:rsidR="0092079A" w:rsidRPr="008965A5">
        <w:rPr>
          <w:rFonts w:ascii="黑体" w:eastAsia="黑体" w:hAnsi="黑体" w:hint="eastAsia"/>
          <w:b/>
          <w:sz w:val="32"/>
          <w:szCs w:val="32"/>
        </w:rPr>
        <w:t>核准流程图</w:t>
      </w:r>
    </w:p>
    <w:tbl>
      <w:tblPr>
        <w:tblStyle w:val="a5"/>
        <w:tblW w:w="14098" w:type="dxa"/>
        <w:tblLayout w:type="fixed"/>
        <w:tblLook w:val="04A0"/>
      </w:tblPr>
      <w:tblGrid>
        <w:gridCol w:w="2362"/>
        <w:gridCol w:w="2286"/>
        <w:gridCol w:w="2362"/>
        <w:gridCol w:w="2362"/>
        <w:gridCol w:w="2363"/>
        <w:gridCol w:w="2363"/>
      </w:tblGrid>
      <w:tr w:rsidR="00550C8F" w:rsidTr="00AF6897">
        <w:trPr>
          <w:trHeight w:val="1066"/>
        </w:trPr>
        <w:tc>
          <w:tcPr>
            <w:tcW w:w="2362" w:type="dxa"/>
          </w:tcPr>
          <w:p w:rsidR="00550C8F" w:rsidRDefault="004C38CA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55" type="#_x0000_t32" style="position:absolute;left:0;text-align:left;margin-left:-3pt;margin-top:2.05pt;width:117pt;height:52.5pt;z-index:251697152;mso-width-relative:page;mso-height-relative:page" o:connectortype="straight"/>
              </w:pict>
            </w:r>
            <w:r w:rsidR="00550C8F">
              <w:rPr>
                <w:rFonts w:hint="eastAsia"/>
                <w:sz w:val="28"/>
              </w:rPr>
              <w:t>时限</w:t>
            </w:r>
          </w:p>
          <w:p w:rsidR="00550C8F" w:rsidRDefault="00550C8F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286" w:type="dxa"/>
          </w:tcPr>
          <w:p w:rsidR="00550C8F" w:rsidRDefault="00550C8F">
            <w:pPr>
              <w:jc w:val="center"/>
            </w:pPr>
          </w:p>
          <w:p w:rsidR="00550C8F" w:rsidRDefault="004C38CA">
            <w:pPr>
              <w:jc w:val="center"/>
            </w:pPr>
            <w:r>
              <w:pict>
                <v:oval id="_x0000_s1254" style="position:absolute;left:0;text-align:left;margin-left:11.65pt;margin-top:33.7pt;width:85.5pt;height:76.5pt;z-index:251696128;mso-position-horizontal-relative:text;mso-position-vertical-relative:text;mso-width-relative:page;mso-height-relative:page">
                  <v:textbox style="mso-next-textbox:#_x0000_s1254">
                    <w:txbxContent>
                      <w:p w:rsidR="00550C8F" w:rsidRPr="000E79FB" w:rsidRDefault="00550C8F" w:rsidP="000E79FB">
                        <w:r w:rsidRPr="000E79FB">
                          <w:rPr>
                            <w:rFonts w:hint="eastAsia"/>
                            <w:sz w:val="18"/>
                            <w:szCs w:val="18"/>
                          </w:rPr>
                          <w:t>申请人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直接到登记场所申请</w:t>
                        </w:r>
                      </w:p>
                    </w:txbxContent>
                  </v:textbox>
                </v:oval>
              </w:pict>
            </w:r>
            <w:r w:rsidR="00550C8F">
              <w:rPr>
                <w:rFonts w:hint="eastAsia"/>
                <w:sz w:val="24"/>
              </w:rPr>
              <w:t>当场办理</w:t>
            </w:r>
          </w:p>
        </w:tc>
        <w:tc>
          <w:tcPr>
            <w:tcW w:w="9450" w:type="dxa"/>
            <w:gridSpan w:val="4"/>
          </w:tcPr>
          <w:p w:rsidR="00550C8F" w:rsidRDefault="00550C8F" w:rsidP="00550C8F">
            <w:pPr>
              <w:jc w:val="center"/>
            </w:pPr>
          </w:p>
          <w:p w:rsidR="00550C8F" w:rsidRDefault="004C38CA" w:rsidP="00550C8F">
            <w:pPr>
              <w:jc w:val="center"/>
            </w:pPr>
            <w:r>
              <w:pict>
                <v:roundrect id="_x0000_s1064" style="position:absolute;left:0;text-align:left;margin-left:25.55pt;margin-top:33.7pt;width:438.75pt;height:168pt;z-index:251688960;mso-width-relative:page;mso-height-relative:page" arcsize="10923f">
                  <v:textbox style="mso-next-textbox:#_x0000_s1064">
                    <w:txbxContent>
                      <w:p w:rsidR="00550C8F" w:rsidRPr="00E10D26" w:rsidRDefault="00F54830" w:rsidP="00550C8F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一、申报材料</w:t>
                        </w:r>
                        <w:r w:rsidR="00550C8F" w:rsidRPr="00E10D26">
                          <w:rPr>
                            <w:rFonts w:asciiTheme="minorEastAsia" w:hAnsiTheme="minorEastAsia" w:cs="宋体" w:hint="eastAsia"/>
                            <w:sz w:val="18"/>
                            <w:szCs w:val="18"/>
                          </w:rPr>
                          <w:t>1、广告发布登记申请书；2、法人资格证明文件；3、媒体证明文件；4、广告从业人员、广告审查人员证明文件；5、场所使用证明文件；6、法定代表人身份证明；7、统一社会信用代码证明；8、联系人身份证明和授权委托书。</w:t>
                        </w:r>
                      </w:p>
                      <w:p w:rsidR="00550C8F" w:rsidRPr="00E10D26" w:rsidRDefault="00F54830" w:rsidP="00550C8F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二、法律依据：</w:t>
                        </w:r>
                        <w:r w:rsidR="00550C8F" w:rsidRPr="00E10D26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 xml:space="preserve">《中华人民共和国广告法》（1994年10月27日主席令第三十四号，2015年4月24日予以修改）第二十九条 </w:t>
                        </w:r>
                      </w:p>
                      <w:p w:rsidR="00550C8F" w:rsidRPr="00E10D26" w:rsidRDefault="00550C8F" w:rsidP="00550C8F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 w:rsidRPr="00E10D26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《广告管理条例》（1987年10月26日国务院发布）第六条</w:t>
                        </w:r>
                      </w:p>
                      <w:p w:rsidR="00550C8F" w:rsidRPr="00E10D26" w:rsidRDefault="00550C8F" w:rsidP="00550C8F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 w:rsidRPr="00E10D26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《广告发布登记管理规定》（</w:t>
                        </w:r>
                        <w:r w:rsidRPr="00E10D26"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  <w:t>2016</w:t>
                        </w:r>
                        <w:r w:rsidRPr="00E10D26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年1</w:t>
                        </w:r>
                        <w:r w:rsidRPr="00E10D26"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E10D26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月1日国家工商行政管理总局发布）第二条、第五条</w:t>
                        </w:r>
                      </w:p>
                      <w:p w:rsidR="00F54830" w:rsidRDefault="00F54830" w:rsidP="0092079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三、是否收费：无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四、实施主体：永清县行政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审批局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</w:rPr>
                          <w:t>承办机构：</w:t>
                        </w:r>
                        <w:r w:rsidR="0092688C">
                          <w:rPr>
                            <w:rFonts w:hint="eastAsia"/>
                            <w:sz w:val="18"/>
                          </w:rPr>
                          <w:t>企业注册股</w:t>
                        </w:r>
                      </w:p>
                      <w:p w:rsidR="0092079A" w:rsidRPr="0035554C" w:rsidRDefault="00F54830" w:rsidP="0092079A">
                        <w:pPr>
                          <w:spacing w:line="220" w:lineRule="exact"/>
                          <w:rPr>
                            <w:rFonts w:asciiTheme="minorEastAsia" w:hAnsiTheme="minorEastAsia" w:cs="华文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五、办理时限：</w:t>
                        </w:r>
                        <w:r w:rsidR="00550C8F">
                          <w:rPr>
                            <w:rFonts w:asciiTheme="minorEastAsia" w:hAnsiTheme="minorEastAsia" w:cs="华文仿宋" w:hint="eastAsia"/>
                            <w:bCs/>
                            <w:sz w:val="18"/>
                            <w:szCs w:val="18"/>
                          </w:rPr>
                          <w:t>法定办结时间：5个工作日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六、联系电话：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0316-6699003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七、监督电话：</w:t>
                        </w:r>
                        <w:r>
                          <w:rPr>
                            <w:rFonts w:hint="eastAsia"/>
                            <w:sz w:val="18"/>
                          </w:rPr>
                          <w:t>0316-6699011</w:t>
                        </w:r>
                      </w:p>
                    </w:txbxContent>
                  </v:textbox>
                </v:roundrect>
              </w:pict>
            </w:r>
            <w:r w:rsidR="00550C8F">
              <w:rPr>
                <w:rFonts w:hint="eastAsia"/>
              </w:rPr>
              <w:t>5</w:t>
            </w:r>
            <w:r w:rsidR="00550C8F">
              <w:rPr>
                <w:rFonts w:hint="eastAsia"/>
              </w:rPr>
              <w:t>个工作日</w:t>
            </w:r>
          </w:p>
        </w:tc>
      </w:tr>
      <w:tr w:rsidR="00AA3F54" w:rsidTr="00D106EA">
        <w:trPr>
          <w:trHeight w:val="1563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4C38CA">
            <w:pPr>
              <w:jc w:val="center"/>
            </w:pPr>
            <w:r w:rsidRPr="004C38CA">
              <w:rPr>
                <w:sz w:val="32"/>
              </w:rPr>
              <w:pict>
                <v:shape id="_x0000_s1034" type="#_x0000_t32" style="position:absolute;left:0;text-align:left;margin-left:105.8pt;margin-top:4.7pt;width:0;height:138pt;flip:y;z-index:251665408;mso-width-relative:page;mso-height-relative:page" o:connectortype="straight"/>
              </w:pict>
            </w:r>
            <w:r w:rsidRPr="004C38CA">
              <w:rPr>
                <w:sz w:val="32"/>
              </w:rPr>
              <w:pict>
                <v:shape id="_x0000_s1035" type="#_x0000_t32" style="position:absolute;left:0;text-align:left;margin-left:105.75pt;margin-top:4.7pt;width:24pt;height:0;z-index:251666432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28"/>
              </w:rPr>
              <w:t xml:space="preserve">   </w:t>
            </w:r>
            <w:r w:rsidR="00B71C62">
              <w:rPr>
                <w:rFonts w:hint="eastAsia"/>
                <w:sz w:val="28"/>
              </w:rPr>
              <w:t xml:space="preserve"> </w:t>
            </w:r>
            <w:r w:rsidR="008965A5">
              <w:rPr>
                <w:rFonts w:hint="eastAsia"/>
                <w:sz w:val="28"/>
              </w:rPr>
              <w:t>受理</w:t>
            </w:r>
            <w:r w:rsidR="00B71C62">
              <w:rPr>
                <w:rFonts w:hint="eastAsia"/>
                <w:sz w:val="28"/>
              </w:rPr>
              <w:t xml:space="preserve">  </w:t>
            </w:r>
            <w:r w:rsidR="00C02ED2">
              <w:rPr>
                <w:rFonts w:hint="eastAsia"/>
                <w:sz w:val="28"/>
              </w:rPr>
              <w:t xml:space="preserve"> </w:t>
            </w:r>
            <w:r w:rsidR="0099613E">
              <w:rPr>
                <w:rFonts w:hint="eastAsia"/>
              </w:rPr>
              <w:t>不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符</w:t>
            </w:r>
          </w:p>
        </w:tc>
        <w:tc>
          <w:tcPr>
            <w:tcW w:w="2286" w:type="dxa"/>
          </w:tcPr>
          <w:p w:rsidR="00AA3F54" w:rsidRDefault="004C38CA">
            <w:r>
              <w:pict>
                <v:shape id="_x0000_s1031" type="#_x0000_t32" style="position:absolute;left:0;text-align:left;margin-left:101.65pt;margin-top:28.4pt;width:18pt;height:.05pt;flip:x;z-index:2516633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57" type="#_x0000_t32" style="position:absolute;left:0;text-align:left;margin-left:53.7pt;margin-top:59.9pt;width:.05pt;height:18pt;z-index:25168281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</w:tc>
        <w:tc>
          <w:tcPr>
            <w:tcW w:w="2362" w:type="dxa"/>
          </w:tcPr>
          <w:p w:rsidR="00AA3F54" w:rsidRDefault="0099613E">
            <w:pPr>
              <w:ind w:firstLineChars="100" w:firstLine="210"/>
            </w:pPr>
            <w:r>
              <w:rPr>
                <w:rFonts w:hint="eastAsia"/>
              </w:rPr>
              <w:t>初</w:t>
            </w:r>
          </w:p>
          <w:p w:rsidR="00AA3F54" w:rsidRDefault="004C38CA">
            <w:r>
              <w:pict>
                <v:shape id="_x0000_s1030" type="#_x0000_t32" style="position:absolute;left:0;text-align:left;margin-left:5.35pt;margin-top:12.8pt;width:.05pt;height:145.5pt;flip:y;z-index:251662336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99613E">
              <w:rPr>
                <w:rFonts w:hint="eastAsia"/>
              </w:rPr>
              <w:t>审，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一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F46C3">
        <w:trPr>
          <w:trHeight w:val="1696"/>
        </w:trPr>
        <w:tc>
          <w:tcPr>
            <w:tcW w:w="2362" w:type="dxa"/>
          </w:tcPr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合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条</w:t>
            </w:r>
          </w:p>
          <w:p w:rsidR="00AA3F54" w:rsidRDefault="0099613E">
            <w:pPr>
              <w:tabs>
                <w:tab w:val="center" w:pos="1073"/>
                <w:tab w:val="right" w:pos="2146"/>
              </w:tabs>
              <w:jc w:val="left"/>
            </w:pPr>
            <w:r>
              <w:tab/>
            </w:r>
            <w:r w:rsidR="00B71C62">
              <w:rPr>
                <w:rFonts w:hint="eastAsia"/>
              </w:rPr>
              <w:t xml:space="preserve">      </w:t>
            </w:r>
            <w:r w:rsidR="008965A5">
              <w:rPr>
                <w:rFonts w:hint="eastAsia"/>
              </w:rPr>
              <w:t>审查</w:t>
            </w:r>
            <w:r>
              <w:rPr>
                <w:rFonts w:hint="eastAsia"/>
                <w:sz w:val="24"/>
              </w:rPr>
              <w:t xml:space="preserve"> </w:t>
            </w:r>
            <w:r w:rsidR="00B71C6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 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退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2286" w:type="dxa"/>
          </w:tcPr>
          <w:p w:rsidR="00AA3F54" w:rsidRDefault="004C38CA"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left:0;text-align:left;margin-left:2.65pt;margin-top:-.75pt;width:99pt;height:190.5pt;z-index:251660288;mso-position-horizontal-relative:text;mso-position-vertical-relative:text;mso-width-relative:page;mso-height-relative:page">
                  <v:textbox style="mso-next-textbox:#_x0000_s1028">
                    <w:txbxContent>
                      <w:p w:rsidR="00AA3F54" w:rsidRDefault="00711B25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审查员审查申请材（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含需核实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>）料齐全符合法定形式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2" w:type="dxa"/>
            <w:tcBorders>
              <w:bottom w:val="single" w:sz="4" w:space="0" w:color="auto"/>
            </w:tcBorders>
          </w:tcPr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告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齐</w:t>
            </w:r>
          </w:p>
          <w:p w:rsidR="00AA3F54" w:rsidRDefault="0099613E" w:rsidP="00C02ED2">
            <w:pPr>
              <w:ind w:firstLineChars="50" w:firstLine="105"/>
            </w:pPr>
            <w:r>
              <w:rPr>
                <w:rFonts w:hint="eastAsia"/>
              </w:rPr>
              <w:t xml:space="preserve"> </w:t>
            </w:r>
            <w:r w:rsidR="00C02ED2">
              <w:rPr>
                <w:rFonts w:hint="eastAsia"/>
              </w:rPr>
              <w:t>材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0E79FB" w:rsidTr="00DF46C3">
        <w:trPr>
          <w:trHeight w:val="1435"/>
        </w:trPr>
        <w:tc>
          <w:tcPr>
            <w:tcW w:w="2362" w:type="dxa"/>
          </w:tcPr>
          <w:p w:rsidR="000E79FB" w:rsidRDefault="004C38CA">
            <w:pPr>
              <w:jc w:val="center"/>
            </w:pPr>
            <w:r w:rsidRPr="004C38CA">
              <w:rPr>
                <w:sz w:val="28"/>
              </w:rPr>
              <w:pict>
                <v:shape id="_x0000_s1033" type="#_x0000_t32" style="position:absolute;left:0;text-align:left;margin-left:105.75pt;margin-top:9.95pt;width:15pt;height:0;flip:x;z-index:251664384;mso-position-horizontal-relative:text;mso-position-vertical-relative:text;mso-width-relative:page;mso-height-relative:page" o:connectortype="straight"/>
              </w:pict>
            </w:r>
          </w:p>
          <w:p w:rsidR="000E79FB" w:rsidRDefault="000E79FB">
            <w:pPr>
              <w:jc w:val="center"/>
            </w:pPr>
          </w:p>
          <w:p w:rsidR="000E79FB" w:rsidRDefault="008965A5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:rsidR="000E79FB" w:rsidRDefault="004C38CA">
            <w:r>
              <w:pict>
                <v:shape id="_x0000_s1029" type="#_x0000_t32" style="position:absolute;left:0;text-align:left;margin-left:101.65pt;margin-top:9.95pt;width:18pt;height:0;z-index:251661312;mso-position-horizontal-relative:text;mso-position-vertical-relative:text;mso-width-relative:page;mso-height-relative:page" o:connectortype="straight"/>
              </w:pict>
            </w:r>
            <w:r w:rsidR="00DF46C3">
              <w:rPr>
                <w:rFonts w:hint="eastAsia"/>
              </w:rPr>
              <w:t xml:space="preserve">                       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79FB" w:rsidRDefault="004C38CA" w:rsidP="00BA20AF">
            <w:r>
              <w:rPr>
                <w:noProof/>
              </w:rPr>
              <w:pict>
                <v:oval id="_x0000_s1250" style="position:absolute;left:0;text-align:left;margin-left:13.6pt;margin-top:57.2pt;width:402pt;height:97.5pt;z-index:251689984;mso-position-horizontal-relative:text;mso-position-vertical-relative:text">
                  <v:textbox>
                    <w:txbxContent>
                      <w:p w:rsidR="00550C8F" w:rsidRDefault="00550C8F">
                        <w:r>
                          <w:rPr>
                            <w:rFonts w:hint="eastAsia"/>
                          </w:rPr>
                          <w:t>核准人员</w:t>
                        </w:r>
                      </w:p>
                      <w:p w:rsidR="00550C8F" w:rsidRDefault="00550C8F">
                        <w:r>
                          <w:rPr>
                            <w:rFonts w:hint="eastAsia"/>
                          </w:rPr>
                          <w:t>做出是否准予登记的决定，准予登记的，将准予登记决定向社会发布；不予登记的，书面说明理由。</w:t>
                        </w:r>
                      </w:p>
                    </w:txbxContent>
                  </v:textbox>
                </v:oval>
              </w:pict>
            </w:r>
            <w:r w:rsidR="00DF46C3">
              <w:rPr>
                <w:rFonts w:hint="eastAsia"/>
              </w:rPr>
              <w:t xml:space="preserve">  </w:t>
            </w:r>
            <w:r w:rsidR="00DF46C3">
              <w:rPr>
                <w:rFonts w:hint="eastAsia"/>
              </w:rPr>
              <w:t>料</w:t>
            </w:r>
          </w:p>
        </w:tc>
        <w:tc>
          <w:tcPr>
            <w:tcW w:w="4725" w:type="dxa"/>
            <w:gridSpan w:val="2"/>
            <w:tcBorders>
              <w:left w:val="nil"/>
              <w:bottom w:val="nil"/>
            </w:tcBorders>
          </w:tcPr>
          <w:p w:rsidR="000E79FB" w:rsidRDefault="000E79FB"/>
        </w:tc>
        <w:tc>
          <w:tcPr>
            <w:tcW w:w="2363" w:type="dxa"/>
            <w:tcBorders>
              <w:bottom w:val="nil"/>
            </w:tcBorders>
          </w:tcPr>
          <w:p w:rsidR="000E79FB" w:rsidRDefault="000E79FB"/>
        </w:tc>
      </w:tr>
      <w:tr w:rsidR="005F451F" w:rsidTr="00DF46C3">
        <w:trPr>
          <w:trHeight w:val="1656"/>
        </w:trPr>
        <w:tc>
          <w:tcPr>
            <w:tcW w:w="2362" w:type="dxa"/>
          </w:tcPr>
          <w:p w:rsidR="005F451F" w:rsidRDefault="005F451F">
            <w:pPr>
              <w:rPr>
                <w:sz w:val="28"/>
              </w:rPr>
            </w:pPr>
          </w:p>
          <w:p w:rsidR="005F451F" w:rsidRDefault="008965A5">
            <w:pPr>
              <w:jc w:val="center"/>
            </w:pPr>
            <w:r>
              <w:rPr>
                <w:rFonts w:hint="eastAsia"/>
                <w:sz w:val="24"/>
              </w:rPr>
              <w:t>送达</w:t>
            </w:r>
          </w:p>
        </w:tc>
        <w:tc>
          <w:tcPr>
            <w:tcW w:w="2286" w:type="dxa"/>
            <w:tcBorders>
              <w:top w:val="nil"/>
            </w:tcBorders>
          </w:tcPr>
          <w:p w:rsidR="005F451F" w:rsidRDefault="004C38CA">
            <w:r>
              <w:rPr>
                <w:noProof/>
              </w:rPr>
              <w:pict>
                <v:shape id="_x0000_s1251" type="#_x0000_t32" style="position:absolute;left:0;text-align:left;margin-left:53.75pt;margin-top:32.2pt;width:74.15pt;height:0;z-index:251691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362" w:type="dxa"/>
            <w:tcBorders>
              <w:top w:val="single" w:sz="4" w:space="0" w:color="auto"/>
              <w:right w:val="nil"/>
            </w:tcBorders>
          </w:tcPr>
          <w:p w:rsidR="005F451F" w:rsidRDefault="005F451F"/>
        </w:tc>
        <w:tc>
          <w:tcPr>
            <w:tcW w:w="7088" w:type="dxa"/>
            <w:gridSpan w:val="3"/>
            <w:tcBorders>
              <w:left w:val="nil"/>
              <w:right w:val="single" w:sz="4" w:space="0" w:color="auto"/>
            </w:tcBorders>
          </w:tcPr>
          <w:p w:rsidR="005F451F" w:rsidRDefault="005F451F"/>
        </w:tc>
      </w:tr>
    </w:tbl>
    <w:p w:rsidR="00F54830" w:rsidRDefault="00F54830"/>
    <w:p w:rsidR="00AA3F54" w:rsidRDefault="00AA3F54"/>
    <w:sectPr w:rsidR="00AA3F54" w:rsidSect="00AA3F54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54" w:rsidRDefault="00AA3F54" w:rsidP="00AA3F54">
      <w:r>
        <w:separator/>
      </w:r>
    </w:p>
  </w:endnote>
  <w:endnote w:type="continuationSeparator" w:id="1">
    <w:p w:rsidR="00AA3F54" w:rsidRDefault="00AA3F54" w:rsidP="00AA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54" w:rsidRDefault="00AA3F54" w:rsidP="00AA3F54">
      <w:r>
        <w:separator/>
      </w:r>
    </w:p>
  </w:footnote>
  <w:footnote w:type="continuationSeparator" w:id="1">
    <w:p w:rsidR="00AA3F54" w:rsidRDefault="00AA3F54" w:rsidP="00AA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54" w:rsidRDefault="00AA3F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336DC"/>
    <w:rsid w:val="0003635D"/>
    <w:rsid w:val="000574DD"/>
    <w:rsid w:val="00083611"/>
    <w:rsid w:val="000E15E2"/>
    <w:rsid w:val="000E1B66"/>
    <w:rsid w:val="000E6B3D"/>
    <w:rsid w:val="000E79FB"/>
    <w:rsid w:val="00132634"/>
    <w:rsid w:val="001C0870"/>
    <w:rsid w:val="00221412"/>
    <w:rsid w:val="00267C38"/>
    <w:rsid w:val="002811FB"/>
    <w:rsid w:val="002B6E22"/>
    <w:rsid w:val="00336261"/>
    <w:rsid w:val="0034368D"/>
    <w:rsid w:val="00347B0B"/>
    <w:rsid w:val="003506BB"/>
    <w:rsid w:val="003E4B14"/>
    <w:rsid w:val="00434193"/>
    <w:rsid w:val="0046112A"/>
    <w:rsid w:val="00474250"/>
    <w:rsid w:val="0047770F"/>
    <w:rsid w:val="00477FC9"/>
    <w:rsid w:val="004C38CA"/>
    <w:rsid w:val="005013FB"/>
    <w:rsid w:val="00550C8F"/>
    <w:rsid w:val="00566673"/>
    <w:rsid w:val="005770C6"/>
    <w:rsid w:val="005F451F"/>
    <w:rsid w:val="00607DFB"/>
    <w:rsid w:val="00614C72"/>
    <w:rsid w:val="0063659C"/>
    <w:rsid w:val="00703DA0"/>
    <w:rsid w:val="007054EC"/>
    <w:rsid w:val="00711B25"/>
    <w:rsid w:val="00782C2A"/>
    <w:rsid w:val="007C4CC9"/>
    <w:rsid w:val="008271B1"/>
    <w:rsid w:val="00843E15"/>
    <w:rsid w:val="008965A5"/>
    <w:rsid w:val="0092079A"/>
    <w:rsid w:val="0092688C"/>
    <w:rsid w:val="0099613E"/>
    <w:rsid w:val="00A8085E"/>
    <w:rsid w:val="00AA3F54"/>
    <w:rsid w:val="00B10708"/>
    <w:rsid w:val="00B71C62"/>
    <w:rsid w:val="00BA4317"/>
    <w:rsid w:val="00BE650F"/>
    <w:rsid w:val="00C02ED2"/>
    <w:rsid w:val="00C40549"/>
    <w:rsid w:val="00CA4D3D"/>
    <w:rsid w:val="00D106EA"/>
    <w:rsid w:val="00D60620"/>
    <w:rsid w:val="00D900B8"/>
    <w:rsid w:val="00D960FC"/>
    <w:rsid w:val="00DF46C3"/>
    <w:rsid w:val="00E13234"/>
    <w:rsid w:val="00E604C4"/>
    <w:rsid w:val="00E60E65"/>
    <w:rsid w:val="00E77C68"/>
    <w:rsid w:val="00E82372"/>
    <w:rsid w:val="00EB3D95"/>
    <w:rsid w:val="00F21A7F"/>
    <w:rsid w:val="00F22D14"/>
    <w:rsid w:val="00F54830"/>
    <w:rsid w:val="00F9399D"/>
    <w:rsid w:val="034450E7"/>
    <w:rsid w:val="4B234F17"/>
    <w:rsid w:val="5178312B"/>
    <w:rsid w:val="54E2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color="white">
      <v:fill color="white"/>
    </o:shapedefaults>
    <o:shapelayout v:ext="edit">
      <o:idmap v:ext="edit" data="1"/>
      <o:rules v:ext="edit">
        <o:r id="V:Rule10" type="connector" idref="#_x0000_s1031"/>
        <o:r id="V:Rule11" type="connector" idref="#_x0000_s1033"/>
        <o:r id="V:Rule12" type="connector" idref="#_x0000_s1255"/>
        <o:r id="V:Rule13" type="connector" idref="#_x0000_s1057"/>
        <o:r id="V:Rule14" type="connector" idref="#_x0000_s1034"/>
        <o:r id="V:Rule15" type="connector" idref="#_x0000_s1029"/>
        <o:r id="V:Rule16" type="connector" idref="#_x0000_s1251"/>
        <o:r id="V:Rule17" type="connector" idref="#_x0000_s1035"/>
        <o:r id="V:Rule1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A3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3F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3F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A3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57"/>
    <customShpInfo spid="_x0000_s1031"/>
    <customShpInfo spid="_x0000_s1027"/>
    <customShpInfo spid="_x0000_s1030"/>
    <customShpInfo spid="_x0000_s1033"/>
    <customShpInfo spid="_x0000_s1037"/>
    <customShpInfo spid="_x0000_s1029"/>
    <customShpInfo spid="_x0000_s1028"/>
    <customShpInfo spid="_x0000_s1041"/>
    <customShpInfo spid="_x0000_s1042"/>
    <customShpInfo spid="_x0000_s1040"/>
    <customShpInfo spid="_x0000_s1048"/>
    <customShpInfo spid="_x0000_s1047"/>
    <customShpInfo spid="_x0000_s1050"/>
    <customShpInfo spid="_x0000_s1049"/>
    <customShpInfo spid="_x0000_s1052"/>
    <customShpInfo spid="_x0000_s1043"/>
    <customShpInfo spid="_x0000_s1044"/>
    <customShpInfo spid="_x0000_s1055"/>
    <customShpInfo spid="_x0000_s104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D681EC-AB8B-4583-A3DE-28A98488E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lenovo14</cp:lastModifiedBy>
  <cp:revision>3</cp:revision>
  <cp:lastPrinted>2018-07-02T05:26:00Z</cp:lastPrinted>
  <dcterms:created xsi:type="dcterms:W3CDTF">2018-07-02T07:14:00Z</dcterms:created>
  <dcterms:modified xsi:type="dcterms:W3CDTF">2018-07-04T02:27:00Z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