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60" w:firstLineChars="1300"/>
        <w:jc w:val="both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永清县行政审批局建筑工程施工许可证核发流程图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34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5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6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7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14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10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47" o:spid="_x0000_s1047" o:spt="2" style="position:absolute;left:0pt;margin-left:3.6pt;margin-top:53.35pt;height:157.4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、提交材料：土地证、用地、工程规划证；</w:t>
                        </w: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2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、施工现场是否具备施工条件的证明；</w:t>
                        </w: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3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、中标通知书、经备案的施工合同、监理合同；</w:t>
                        </w: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4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、图纸审查合格书；</w:t>
                        </w: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5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、质量监督注册及安全监督备案；</w:t>
                        </w: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6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、资金证明、业主支付保函、担保证明、无拖欠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证明；</w:t>
                        </w: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7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、需要办理消防审核的提供消防审批手续</w:t>
                        </w: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(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仅限于消防设计审核项目</w:t>
                        </w: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)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。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上述申报材料的原件核验后退还，收扫描件。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 w:ascii="仿宋" w:hAnsi="仿宋" w:eastAsia="仿宋"/>
                            <w:sz w:val="15"/>
                            <w:szCs w:val="15"/>
                          </w:rPr>
                          <w:t>《中华人民共和国建筑法》（主席令第</w:t>
                        </w:r>
                        <w:r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  <w:t>91</w:t>
                        </w:r>
                        <w:r>
                          <w:rPr>
                            <w:rFonts w:hint="eastAsia" w:ascii="仿宋" w:hAnsi="仿宋" w:eastAsia="仿宋"/>
                            <w:sz w:val="15"/>
                            <w:szCs w:val="15"/>
                          </w:rPr>
                          <w:t>号）、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15"/>
                            <w:szCs w:val="15"/>
                          </w:rPr>
                          <w:t>《建筑工程施工许可管理办法》（建设部令第</w:t>
                        </w:r>
                        <w:r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  <w:t>18</w:t>
                        </w:r>
                        <w:r>
                          <w:rPr>
                            <w:rFonts w:hint="eastAsia" w:ascii="仿宋" w:hAnsi="仿宋" w:eastAsia="仿宋"/>
                            <w:sz w:val="15"/>
                            <w:szCs w:val="15"/>
                          </w:rPr>
                          <w:t>号）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15"/>
                            <w:szCs w:val="15"/>
                          </w:rPr>
                          <w:t>《河北省建筑工程施工许可管理办法》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8" o:spid="_x0000_s1048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9" o:spid="_x0000_s1049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0" o:spid="_x0000_s1050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1" o:spid="_x0000_s1051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2" o:spid="_x0000_s1052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3" o:spid="_x0000_s1053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4" o:spid="_x0000_s1054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5" o:spid="_x0000_s1055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发证</w:t>
                        </w:r>
                      </w:p>
                    </w:txbxContent>
                  </v:textbox>
                </v:shape>
              </w:pict>
            </w:r>
          </w:p>
        </w:tc>
      </w:tr>
    </w:tbl>
    <w:p>
      <w:bookmarkStart w:id="0" w:name="_GoBack"/>
      <w:bookmarkEnd w:id="0"/>
    </w:p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D6C5D"/>
    <w:rsid w:val="00206F9B"/>
    <w:rsid w:val="0022735F"/>
    <w:rsid w:val="00243107"/>
    <w:rsid w:val="002C6E95"/>
    <w:rsid w:val="002D12E5"/>
    <w:rsid w:val="003C1565"/>
    <w:rsid w:val="00432FD6"/>
    <w:rsid w:val="004A0D94"/>
    <w:rsid w:val="0059503E"/>
    <w:rsid w:val="005E2999"/>
    <w:rsid w:val="00637B8E"/>
    <w:rsid w:val="00673515"/>
    <w:rsid w:val="00757A90"/>
    <w:rsid w:val="00835455"/>
    <w:rsid w:val="00853743"/>
    <w:rsid w:val="008B214E"/>
    <w:rsid w:val="009127A3"/>
    <w:rsid w:val="009611E6"/>
    <w:rsid w:val="00966B0C"/>
    <w:rsid w:val="009814C8"/>
    <w:rsid w:val="009C788E"/>
    <w:rsid w:val="009E2462"/>
    <w:rsid w:val="00A17F90"/>
    <w:rsid w:val="00B00C6E"/>
    <w:rsid w:val="00B3159C"/>
    <w:rsid w:val="00B8321C"/>
    <w:rsid w:val="00BA3FE1"/>
    <w:rsid w:val="00BC40A2"/>
    <w:rsid w:val="00BE214F"/>
    <w:rsid w:val="00C0785B"/>
    <w:rsid w:val="00CC412E"/>
    <w:rsid w:val="00CE0F6A"/>
    <w:rsid w:val="00DC7BCB"/>
    <w:rsid w:val="00DE603B"/>
    <w:rsid w:val="00E05034"/>
    <w:rsid w:val="00E26080"/>
    <w:rsid w:val="00E87243"/>
    <w:rsid w:val="00F911C9"/>
    <w:rsid w:val="00FE613E"/>
    <w:rsid w:val="00FE6760"/>
    <w:rsid w:val="4A2A4594"/>
    <w:rsid w:val="520E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19</Words>
  <Characters>112</Characters>
  <Lines>0</Lines>
  <Paragraphs>0</Paragraphs>
  <TotalTime>21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2018-07-02T06:26:43Z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