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4" w:rsidRPr="00E7206A" w:rsidRDefault="00F52744" w:rsidP="00F5274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206A">
        <w:rPr>
          <w:rFonts w:ascii="宋体" w:hAnsi="宋体" w:hint="eastAsia"/>
          <w:b/>
          <w:sz w:val="44"/>
          <w:szCs w:val="44"/>
        </w:rPr>
        <w:t>永清县20</w:t>
      </w:r>
      <w:r w:rsidR="00BD7261">
        <w:rPr>
          <w:rFonts w:ascii="宋体" w:hAnsi="宋体" w:hint="eastAsia"/>
          <w:b/>
          <w:sz w:val="44"/>
          <w:szCs w:val="44"/>
        </w:rPr>
        <w:t>20</w:t>
      </w:r>
      <w:r w:rsidRPr="00E7206A">
        <w:rPr>
          <w:rFonts w:ascii="宋体" w:hAnsi="宋体" w:hint="eastAsia"/>
          <w:b/>
          <w:sz w:val="44"/>
          <w:szCs w:val="44"/>
        </w:rPr>
        <w:t>年</w:t>
      </w:r>
    </w:p>
    <w:p w:rsidR="00F52744" w:rsidRPr="00E7206A" w:rsidRDefault="00F52744" w:rsidP="00F5274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206A">
        <w:rPr>
          <w:rFonts w:ascii="宋体" w:hAnsi="宋体" w:hint="eastAsia"/>
          <w:b/>
          <w:sz w:val="44"/>
          <w:szCs w:val="44"/>
        </w:rPr>
        <w:t>国民经济和社会发展统计公报</w:t>
      </w:r>
    </w:p>
    <w:p w:rsidR="00F52744" w:rsidRPr="00E7206A" w:rsidRDefault="00F52744" w:rsidP="00F5274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52744" w:rsidRPr="00E00F47" w:rsidRDefault="00F52744" w:rsidP="00E00F47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0F47">
        <w:rPr>
          <w:rFonts w:ascii="仿宋" w:eastAsia="仿宋" w:hAnsi="仿宋" w:hint="eastAsia"/>
          <w:sz w:val="32"/>
          <w:szCs w:val="32"/>
        </w:rPr>
        <w:t>20</w:t>
      </w:r>
      <w:r w:rsidR="00A22D0B" w:rsidRPr="00E00F47">
        <w:rPr>
          <w:rFonts w:ascii="仿宋" w:eastAsia="仿宋" w:hAnsi="仿宋" w:hint="eastAsia"/>
          <w:sz w:val="32"/>
          <w:szCs w:val="32"/>
        </w:rPr>
        <w:t>20</w:t>
      </w:r>
      <w:r w:rsidR="006D7425" w:rsidRPr="00E00F47">
        <w:rPr>
          <w:rFonts w:ascii="仿宋" w:eastAsia="仿宋" w:hAnsi="仿宋" w:hint="eastAsia"/>
          <w:sz w:val="32"/>
          <w:szCs w:val="32"/>
        </w:rPr>
        <w:t>年，</w:t>
      </w:r>
      <w:r w:rsidRPr="00E00F47">
        <w:rPr>
          <w:rFonts w:ascii="仿宋" w:eastAsia="仿宋" w:hAnsi="仿宋" w:hint="eastAsia"/>
          <w:sz w:val="32"/>
          <w:szCs w:val="32"/>
        </w:rPr>
        <w:t>在县委、县政府的正确领导下，</w:t>
      </w:r>
      <w:r w:rsidR="006D7425" w:rsidRPr="00E00F47">
        <w:rPr>
          <w:rFonts w:ascii="仿宋" w:eastAsia="仿宋" w:hAnsi="仿宋" w:hint="eastAsia"/>
          <w:sz w:val="32"/>
          <w:szCs w:val="32"/>
        </w:rPr>
        <w:t>全县上下高举习近平新时代中国特色社会主义思想伟大旗帜，深入</w:t>
      </w:r>
      <w:r w:rsidR="00141F44" w:rsidRPr="00E00F47">
        <w:rPr>
          <w:rFonts w:ascii="仿宋" w:eastAsia="仿宋" w:hAnsi="仿宋" w:hint="eastAsia"/>
          <w:sz w:val="32"/>
          <w:szCs w:val="32"/>
        </w:rPr>
        <w:t>学习</w:t>
      </w:r>
      <w:r w:rsidR="006D7425" w:rsidRPr="00E00F47">
        <w:rPr>
          <w:rFonts w:ascii="仿宋" w:eastAsia="仿宋" w:hAnsi="仿宋" w:hint="eastAsia"/>
          <w:sz w:val="32"/>
          <w:szCs w:val="32"/>
        </w:rPr>
        <w:t>贯彻</w:t>
      </w:r>
      <w:r w:rsidR="00141F44" w:rsidRPr="00E00F47">
        <w:rPr>
          <w:rFonts w:ascii="仿宋" w:eastAsia="仿宋" w:hAnsi="仿宋" w:hint="eastAsia"/>
          <w:sz w:val="32"/>
          <w:szCs w:val="32"/>
        </w:rPr>
        <w:t>习近平总书记重要讲话和中央经济工作会议精神，坚定不移</w:t>
      </w:r>
      <w:r w:rsidR="00BB44BC" w:rsidRPr="00E00F47">
        <w:rPr>
          <w:rFonts w:ascii="仿宋" w:eastAsia="仿宋" w:hAnsi="仿宋"/>
          <w:sz w:val="32"/>
          <w:szCs w:val="32"/>
        </w:rPr>
        <w:t>贯彻新发展理念，</w:t>
      </w:r>
      <w:r w:rsidR="00766E30" w:rsidRPr="00E00F47">
        <w:rPr>
          <w:rFonts w:ascii="仿宋" w:eastAsia="仿宋" w:hAnsi="仿宋" w:hint="eastAsia"/>
          <w:sz w:val="32"/>
          <w:szCs w:val="32"/>
        </w:rPr>
        <w:t>坚持</w:t>
      </w:r>
      <w:r w:rsidR="00766E30" w:rsidRPr="00E00F47">
        <w:rPr>
          <w:rFonts w:ascii="仿宋" w:eastAsia="仿宋" w:hAnsi="仿宋"/>
          <w:sz w:val="32"/>
          <w:szCs w:val="32"/>
        </w:rPr>
        <w:t>改革创新</w:t>
      </w:r>
      <w:r w:rsidR="00766E30" w:rsidRPr="00E00F47">
        <w:rPr>
          <w:rFonts w:ascii="仿宋" w:eastAsia="仿宋" w:hAnsi="仿宋" w:hint="eastAsia"/>
          <w:sz w:val="32"/>
          <w:szCs w:val="32"/>
        </w:rPr>
        <w:t>、</w:t>
      </w:r>
      <w:r w:rsidR="00BB44BC" w:rsidRPr="00E00F47">
        <w:rPr>
          <w:rFonts w:ascii="仿宋" w:eastAsia="仿宋" w:hAnsi="仿宋"/>
          <w:sz w:val="32"/>
          <w:szCs w:val="32"/>
        </w:rPr>
        <w:t>稳中求进</w:t>
      </w:r>
      <w:r w:rsidR="00766E30" w:rsidRPr="00E00F47">
        <w:rPr>
          <w:rFonts w:ascii="仿宋" w:eastAsia="仿宋" w:hAnsi="仿宋" w:hint="eastAsia"/>
          <w:sz w:val="32"/>
          <w:szCs w:val="32"/>
        </w:rPr>
        <w:t>，</w:t>
      </w:r>
      <w:r w:rsidR="00E00F47" w:rsidRPr="00E00F47">
        <w:rPr>
          <w:rFonts w:ascii="仿宋" w:eastAsia="仿宋" w:hAnsi="仿宋" w:hint="eastAsia"/>
          <w:sz w:val="32"/>
          <w:szCs w:val="32"/>
        </w:rPr>
        <w:t>推动协同发展、绿色发展、高质量发展</w:t>
      </w:r>
      <w:r w:rsidR="00E00F47">
        <w:rPr>
          <w:rFonts w:ascii="仿宋" w:eastAsia="仿宋" w:hAnsi="仿宋" w:hint="eastAsia"/>
          <w:sz w:val="32"/>
          <w:szCs w:val="32"/>
        </w:rPr>
        <w:t>，</w:t>
      </w:r>
      <w:r w:rsidR="00BB44BC" w:rsidRPr="00E00F47">
        <w:rPr>
          <w:rFonts w:ascii="仿宋" w:eastAsia="仿宋" w:hAnsi="仿宋"/>
          <w:sz w:val="32"/>
          <w:szCs w:val="32"/>
        </w:rPr>
        <w:t>全力落实“六稳”“六保”任务，抓统筹、稳运行、保增长，</w:t>
      </w:r>
      <w:r w:rsidR="006D7425" w:rsidRPr="00E00F47">
        <w:rPr>
          <w:rFonts w:ascii="仿宋" w:eastAsia="仿宋" w:hAnsi="仿宋" w:hint="eastAsia"/>
          <w:color w:val="000000"/>
          <w:sz w:val="32"/>
          <w:szCs w:val="32"/>
        </w:rPr>
        <w:t>经济运行实现</w:t>
      </w:r>
      <w:r w:rsidR="00BB44BC" w:rsidRPr="00E00F47">
        <w:rPr>
          <w:rFonts w:ascii="仿宋" w:eastAsia="仿宋" w:hAnsi="仿宋"/>
          <w:sz w:val="32"/>
          <w:szCs w:val="32"/>
        </w:rPr>
        <w:t>逆势上扬、稳中向好</w:t>
      </w:r>
      <w:r w:rsidR="006D7425" w:rsidRPr="00E00F47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E00F47">
        <w:rPr>
          <w:rFonts w:ascii="仿宋" w:eastAsia="仿宋" w:hAnsi="仿宋" w:hint="eastAsia"/>
          <w:sz w:val="32"/>
          <w:szCs w:val="32"/>
        </w:rPr>
        <w:t>民生保障持续增强，社会事业全面进步，生态环境明显改善，</w:t>
      </w:r>
      <w:r w:rsidR="00766E30" w:rsidRPr="00E00F47">
        <w:rPr>
          <w:rFonts w:ascii="仿宋" w:eastAsia="仿宋" w:hAnsi="仿宋"/>
          <w:sz w:val="32"/>
          <w:szCs w:val="32"/>
        </w:rPr>
        <w:t>百姓福祉和社会和谐取得新成效</w:t>
      </w:r>
      <w:r w:rsidR="00BB44BC" w:rsidRPr="00E00F47">
        <w:rPr>
          <w:rFonts w:ascii="仿宋" w:eastAsia="仿宋" w:hAnsi="仿宋"/>
          <w:sz w:val="32"/>
          <w:szCs w:val="32"/>
        </w:rPr>
        <w:t>。</w:t>
      </w:r>
    </w:p>
    <w:p w:rsidR="00F52744" w:rsidRPr="00E7206A" w:rsidRDefault="00F52744" w:rsidP="004C2EE8">
      <w:pPr>
        <w:spacing w:line="7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一、综 合</w:t>
      </w:r>
    </w:p>
    <w:p w:rsidR="00F52744" w:rsidRPr="00E7206A" w:rsidRDefault="00F52744" w:rsidP="004C2EE8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初步测算，全县实现地区生产总值</w:t>
      </w:r>
      <w:r w:rsidR="00141F44" w:rsidRPr="00E7206A">
        <w:rPr>
          <w:rFonts w:ascii="仿宋" w:eastAsia="仿宋" w:hAnsi="仿宋" w:hint="eastAsia"/>
          <w:sz w:val="32"/>
          <w:szCs w:val="32"/>
        </w:rPr>
        <w:t>2</w:t>
      </w:r>
      <w:r w:rsidR="00F344D8">
        <w:rPr>
          <w:rFonts w:ascii="仿宋" w:eastAsia="仿宋" w:hAnsi="仿宋" w:hint="eastAsia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14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 w:rsidR="00F344D8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%。其中，第一产业实现增加值</w:t>
      </w:r>
      <w:r w:rsidR="00141F44" w:rsidRPr="00E7206A">
        <w:rPr>
          <w:rFonts w:ascii="仿宋" w:eastAsia="仿宋" w:hAnsi="仿宋" w:hint="eastAsia"/>
          <w:sz w:val="32"/>
          <w:szCs w:val="32"/>
        </w:rPr>
        <w:t>6</w:t>
      </w:r>
      <w:r w:rsidR="00F344D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F44" w:rsidRPr="00E7206A">
        <w:rPr>
          <w:rFonts w:ascii="仿宋" w:eastAsia="仿宋" w:hAnsi="仿宋" w:hint="eastAsia"/>
          <w:sz w:val="32"/>
          <w:szCs w:val="32"/>
        </w:rPr>
        <w:t>0</w:t>
      </w:r>
      <w:r w:rsidR="00F344D8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F344D8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%；第二产业实现增加值</w:t>
      </w:r>
      <w:r w:rsidR="004E19E9" w:rsidRPr="00E7206A">
        <w:rPr>
          <w:rFonts w:ascii="仿宋" w:eastAsia="仿宋" w:hAnsi="仿宋" w:hint="eastAsia"/>
          <w:sz w:val="32"/>
          <w:szCs w:val="32"/>
        </w:rPr>
        <w:t>42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77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F344D8" w:rsidRPr="00E7206A">
        <w:rPr>
          <w:rFonts w:ascii="仿宋" w:eastAsia="仿宋" w:hAnsi="仿宋" w:hint="eastAsia"/>
          <w:sz w:val="32"/>
          <w:szCs w:val="32"/>
        </w:rPr>
        <w:t>增长</w:t>
      </w:r>
      <w:r w:rsidR="00F344D8">
        <w:rPr>
          <w:rFonts w:ascii="仿宋" w:eastAsia="仿宋" w:hAnsi="仿宋" w:hint="eastAsia"/>
          <w:sz w:val="32"/>
          <w:szCs w:val="32"/>
        </w:rPr>
        <w:t>10</w:t>
      </w:r>
      <w:r w:rsidR="00F344D8"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9</w:t>
      </w:r>
      <w:r w:rsidR="00F344D8" w:rsidRPr="00E7206A">
        <w:rPr>
          <w:rFonts w:ascii="仿宋" w:eastAsia="仿宋" w:hAnsi="仿宋" w:hint="eastAsia"/>
          <w:sz w:val="32"/>
          <w:szCs w:val="32"/>
        </w:rPr>
        <w:t>%</w:t>
      </w:r>
      <w:r w:rsidRPr="00E7206A">
        <w:rPr>
          <w:rFonts w:ascii="仿宋" w:eastAsia="仿宋" w:hAnsi="仿宋" w:hint="eastAsia"/>
          <w:sz w:val="32"/>
          <w:szCs w:val="32"/>
        </w:rPr>
        <w:t>；第三产业实现增加值</w:t>
      </w:r>
      <w:r w:rsidR="00F344D8">
        <w:rPr>
          <w:rFonts w:ascii="仿宋" w:eastAsia="仿宋" w:hAnsi="仿宋" w:hint="eastAsia"/>
          <w:sz w:val="32"/>
          <w:szCs w:val="32"/>
        </w:rPr>
        <w:t>109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34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F344D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44D8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1542E8" w:rsidRPr="00E7206A" w:rsidRDefault="001542E8" w:rsidP="00154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lastRenderedPageBreak/>
        <w:drawing>
          <wp:inline distT="0" distB="0" distL="0" distR="0">
            <wp:extent cx="5274310" cy="3105372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2EE8" w:rsidRPr="00E7206A" w:rsidRDefault="004C2EE8" w:rsidP="00F5274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52744" w:rsidRPr="00E7206A" w:rsidRDefault="00F52744" w:rsidP="005E04B7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全县产业结构</w:t>
      </w:r>
      <w:r w:rsidR="0001766C" w:rsidRPr="00E7206A">
        <w:rPr>
          <w:rFonts w:ascii="仿宋" w:eastAsia="仿宋" w:hAnsi="仿宋" w:hint="eastAsia"/>
          <w:sz w:val="32"/>
          <w:szCs w:val="32"/>
        </w:rPr>
        <w:t>继续保持</w:t>
      </w:r>
      <w:r w:rsidR="00922A46" w:rsidRPr="00E7206A">
        <w:rPr>
          <w:rFonts w:ascii="仿宋" w:eastAsia="仿宋" w:hAnsi="仿宋" w:hint="eastAsia"/>
          <w:sz w:val="32"/>
          <w:szCs w:val="32"/>
        </w:rPr>
        <w:t>“</w:t>
      </w:r>
      <w:r w:rsidR="0007342B" w:rsidRPr="00E7206A">
        <w:rPr>
          <w:rFonts w:ascii="仿宋" w:eastAsia="仿宋" w:hAnsi="仿宋" w:hint="eastAsia"/>
          <w:sz w:val="32"/>
          <w:szCs w:val="32"/>
        </w:rPr>
        <w:t>三</w:t>
      </w:r>
      <w:r w:rsidR="00922A46" w:rsidRPr="00E7206A">
        <w:rPr>
          <w:rFonts w:ascii="仿宋" w:eastAsia="仿宋" w:hAnsi="仿宋" w:hint="eastAsia"/>
          <w:sz w:val="32"/>
          <w:szCs w:val="32"/>
        </w:rPr>
        <w:t>、</w:t>
      </w:r>
      <w:r w:rsidR="0007342B" w:rsidRPr="00E7206A">
        <w:rPr>
          <w:rFonts w:ascii="仿宋" w:eastAsia="仿宋" w:hAnsi="仿宋" w:hint="eastAsia"/>
          <w:sz w:val="32"/>
          <w:szCs w:val="32"/>
        </w:rPr>
        <w:t>一</w:t>
      </w:r>
      <w:r w:rsidR="00B858C0" w:rsidRPr="00E7206A">
        <w:rPr>
          <w:rFonts w:ascii="仿宋" w:eastAsia="仿宋" w:hAnsi="仿宋" w:hint="eastAsia"/>
          <w:sz w:val="32"/>
          <w:szCs w:val="32"/>
        </w:rPr>
        <w:t>、二</w:t>
      </w:r>
      <w:r w:rsidR="00922A46" w:rsidRPr="00E7206A">
        <w:rPr>
          <w:rFonts w:ascii="仿宋" w:eastAsia="仿宋" w:hAnsi="仿宋" w:hint="eastAsia"/>
          <w:sz w:val="32"/>
          <w:szCs w:val="32"/>
        </w:rPr>
        <w:t>”</w:t>
      </w:r>
      <w:r w:rsidRPr="00E7206A">
        <w:rPr>
          <w:rFonts w:ascii="仿宋" w:eastAsia="仿宋" w:hAnsi="仿宋" w:hint="eastAsia"/>
          <w:sz w:val="32"/>
          <w:szCs w:val="32"/>
        </w:rPr>
        <w:t>的产业结构，但第二产业所占比重有所</w:t>
      </w:r>
      <w:r w:rsidR="00A913E7" w:rsidRPr="00E7206A">
        <w:rPr>
          <w:rFonts w:ascii="仿宋" w:eastAsia="仿宋" w:hAnsi="仿宋" w:hint="eastAsia"/>
          <w:sz w:val="32"/>
          <w:szCs w:val="32"/>
        </w:rPr>
        <w:t>下降</w:t>
      </w:r>
      <w:r w:rsidRPr="00E7206A">
        <w:rPr>
          <w:rFonts w:ascii="仿宋" w:eastAsia="仿宋" w:hAnsi="仿宋" w:hint="eastAsia"/>
          <w:sz w:val="32"/>
          <w:szCs w:val="32"/>
        </w:rPr>
        <w:t>，第三产业所占比重</w:t>
      </w:r>
      <w:r w:rsidR="004E19E9" w:rsidRPr="00E7206A">
        <w:rPr>
          <w:rFonts w:ascii="仿宋" w:eastAsia="仿宋" w:hAnsi="仿宋" w:hint="eastAsia"/>
          <w:sz w:val="32"/>
          <w:szCs w:val="32"/>
        </w:rPr>
        <w:t>有所</w:t>
      </w:r>
      <w:r w:rsidR="00A913E7" w:rsidRPr="00E7206A">
        <w:rPr>
          <w:rFonts w:ascii="仿宋" w:eastAsia="仿宋" w:hAnsi="仿宋" w:hint="eastAsia"/>
          <w:sz w:val="32"/>
          <w:szCs w:val="32"/>
        </w:rPr>
        <w:t>上升</w:t>
      </w:r>
      <w:r w:rsidRPr="00E7206A">
        <w:rPr>
          <w:rFonts w:ascii="仿宋" w:eastAsia="仿宋" w:hAnsi="仿宋" w:hint="eastAsia"/>
          <w:sz w:val="32"/>
          <w:szCs w:val="32"/>
        </w:rPr>
        <w:t>。</w:t>
      </w:r>
      <w:r w:rsidR="004E19E9" w:rsidRPr="00E7206A">
        <w:rPr>
          <w:rFonts w:ascii="仿宋" w:eastAsia="仿宋" w:hAnsi="仿宋" w:hint="eastAsia"/>
          <w:sz w:val="32"/>
          <w:szCs w:val="32"/>
        </w:rPr>
        <w:t>第一产业所占比重基本持平。</w:t>
      </w:r>
      <w:r w:rsidRPr="00E7206A">
        <w:rPr>
          <w:rFonts w:ascii="仿宋" w:eastAsia="仿宋" w:hAnsi="仿宋" w:hint="eastAsia"/>
          <w:sz w:val="32"/>
          <w:szCs w:val="32"/>
        </w:rPr>
        <w:t>三次产业结构由上年的</w:t>
      </w:r>
      <w:r w:rsidR="00A913E7" w:rsidRPr="00E7206A">
        <w:rPr>
          <w:rFonts w:ascii="仿宋" w:eastAsia="仿宋" w:hAnsi="仿宋" w:hint="eastAsia"/>
          <w:sz w:val="32"/>
          <w:szCs w:val="32"/>
        </w:rPr>
        <w:t>30.8:20.9:48.3</w:t>
      </w:r>
      <w:r w:rsidRPr="00E7206A">
        <w:rPr>
          <w:rFonts w:ascii="仿宋" w:eastAsia="仿宋" w:hAnsi="仿宋" w:hint="eastAsia"/>
          <w:sz w:val="32"/>
          <w:szCs w:val="32"/>
        </w:rPr>
        <w:t>调整为</w:t>
      </w:r>
      <w:r w:rsidR="0001766C" w:rsidRPr="00E7206A">
        <w:rPr>
          <w:rFonts w:ascii="仿宋" w:eastAsia="仿宋" w:hAnsi="仿宋" w:hint="eastAsia"/>
          <w:sz w:val="32"/>
          <w:szCs w:val="32"/>
        </w:rPr>
        <w:t>30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:</w:t>
      </w:r>
      <w:r w:rsidR="00A913E7">
        <w:rPr>
          <w:rFonts w:ascii="仿宋" w:eastAsia="仿宋" w:hAnsi="仿宋" w:hint="eastAsia"/>
          <w:sz w:val="32"/>
          <w:szCs w:val="32"/>
        </w:rPr>
        <w:t>19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4</w:t>
      </w:r>
      <w:r w:rsidR="0001766C" w:rsidRPr="00E7206A">
        <w:rPr>
          <w:rFonts w:ascii="仿宋" w:eastAsia="仿宋" w:hAnsi="仿宋" w:hint="eastAsia"/>
          <w:sz w:val="32"/>
          <w:szCs w:val="32"/>
        </w:rPr>
        <w:t>:</w:t>
      </w:r>
      <w:r w:rsidR="004E19E9" w:rsidRPr="00E7206A">
        <w:rPr>
          <w:rFonts w:ascii="仿宋" w:eastAsia="仿宋" w:hAnsi="仿宋" w:hint="eastAsia"/>
          <w:sz w:val="32"/>
          <w:szCs w:val="32"/>
        </w:rPr>
        <w:t>4</w:t>
      </w:r>
      <w:r w:rsidR="00A913E7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,第</w:t>
      </w:r>
      <w:r w:rsidR="0001766C" w:rsidRPr="00E7206A">
        <w:rPr>
          <w:rFonts w:ascii="仿宋" w:eastAsia="仿宋" w:hAnsi="仿宋" w:hint="eastAsia"/>
          <w:sz w:val="32"/>
          <w:szCs w:val="32"/>
        </w:rPr>
        <w:t>一、</w:t>
      </w:r>
      <w:r w:rsidR="00A913E7">
        <w:rPr>
          <w:rFonts w:ascii="仿宋" w:eastAsia="仿宋" w:hAnsi="仿宋" w:hint="eastAsia"/>
          <w:sz w:val="32"/>
          <w:szCs w:val="32"/>
        </w:rPr>
        <w:t>三</w:t>
      </w:r>
      <w:r w:rsidRPr="00E7206A">
        <w:rPr>
          <w:rFonts w:ascii="仿宋" w:eastAsia="仿宋" w:hAnsi="仿宋" w:hint="eastAsia"/>
          <w:sz w:val="32"/>
          <w:szCs w:val="32"/>
        </w:rPr>
        <w:t>产业</w:t>
      </w:r>
      <w:r w:rsidR="0001766C" w:rsidRPr="00E7206A">
        <w:rPr>
          <w:rFonts w:ascii="仿宋" w:eastAsia="仿宋" w:hAnsi="仿宋" w:hint="eastAsia"/>
          <w:sz w:val="32"/>
          <w:szCs w:val="32"/>
        </w:rPr>
        <w:t>比重分别</w:t>
      </w:r>
      <w:r w:rsidRPr="00E7206A">
        <w:rPr>
          <w:rFonts w:ascii="仿宋" w:eastAsia="仿宋" w:hAnsi="仿宋" w:hint="eastAsia"/>
          <w:sz w:val="32"/>
          <w:szCs w:val="32"/>
        </w:rPr>
        <w:t>比上年</w:t>
      </w:r>
      <w:r w:rsidR="004D5BF4" w:rsidRPr="00E7206A">
        <w:rPr>
          <w:rFonts w:ascii="仿宋" w:eastAsia="仿宋" w:hAnsi="仿宋" w:hint="eastAsia"/>
          <w:sz w:val="32"/>
          <w:szCs w:val="32"/>
        </w:rPr>
        <w:t>上升0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1</w:t>
      </w:r>
      <w:r w:rsidR="0001766C" w:rsidRPr="00E7206A">
        <w:rPr>
          <w:rFonts w:ascii="仿宋" w:eastAsia="仿宋" w:hAnsi="仿宋" w:hint="eastAsia"/>
          <w:sz w:val="32"/>
          <w:szCs w:val="32"/>
        </w:rPr>
        <w:t>和</w:t>
      </w:r>
      <w:r w:rsidR="00A913E7">
        <w:rPr>
          <w:rFonts w:ascii="仿宋" w:eastAsia="仿宋" w:hAnsi="仿宋" w:hint="eastAsia"/>
          <w:sz w:val="32"/>
          <w:szCs w:val="32"/>
        </w:rPr>
        <w:t>1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个百分点</w:t>
      </w:r>
      <w:r w:rsidR="0001766C" w:rsidRPr="00E7206A">
        <w:rPr>
          <w:rFonts w:ascii="仿宋" w:eastAsia="仿宋" w:hAnsi="仿宋" w:hint="eastAsia"/>
          <w:sz w:val="32"/>
          <w:szCs w:val="32"/>
        </w:rPr>
        <w:t>，第</w:t>
      </w:r>
      <w:r w:rsidR="00A913E7">
        <w:rPr>
          <w:rFonts w:ascii="仿宋" w:eastAsia="仿宋" w:hAnsi="仿宋" w:hint="eastAsia"/>
          <w:sz w:val="32"/>
          <w:szCs w:val="32"/>
        </w:rPr>
        <w:t>二</w:t>
      </w:r>
      <w:r w:rsidR="0001766C" w:rsidRPr="00E7206A">
        <w:rPr>
          <w:rFonts w:ascii="仿宋" w:eastAsia="仿宋" w:hAnsi="仿宋" w:hint="eastAsia"/>
          <w:sz w:val="32"/>
          <w:szCs w:val="32"/>
        </w:rPr>
        <w:t>产业比重则比上年</w:t>
      </w:r>
      <w:r w:rsidR="004D5BF4" w:rsidRPr="00E7206A">
        <w:rPr>
          <w:rFonts w:ascii="仿宋" w:eastAsia="仿宋" w:hAnsi="仿宋" w:hint="eastAsia"/>
          <w:sz w:val="32"/>
          <w:szCs w:val="32"/>
        </w:rPr>
        <w:t>下降</w:t>
      </w:r>
      <w:r w:rsidR="00A913E7">
        <w:rPr>
          <w:rFonts w:ascii="仿宋" w:eastAsia="仿宋" w:hAnsi="仿宋" w:hint="eastAsia"/>
          <w:sz w:val="32"/>
          <w:szCs w:val="32"/>
        </w:rPr>
        <w:t>1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5</w:t>
      </w:r>
      <w:r w:rsidR="0001766C" w:rsidRPr="00E7206A">
        <w:rPr>
          <w:rFonts w:ascii="仿宋" w:eastAsia="仿宋" w:hAnsi="仿宋" w:hint="eastAsia"/>
          <w:sz w:val="32"/>
          <w:szCs w:val="32"/>
        </w:rPr>
        <w:t>个百分点</w:t>
      </w:r>
      <w:r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61686C" w:rsidRDefault="00F52744" w:rsidP="005E04B7">
      <w:pPr>
        <w:spacing w:line="700" w:lineRule="exact"/>
        <w:ind w:firstLineChars="200" w:firstLine="640"/>
        <w:rPr>
          <w:rFonts w:ascii="仿宋" w:eastAsia="仿宋" w:hAnsi="仿宋"/>
          <w:color w:val="FF0000"/>
          <w:sz w:val="28"/>
          <w:szCs w:val="28"/>
        </w:rPr>
      </w:pPr>
      <w:r w:rsidRPr="00E7206A">
        <w:rPr>
          <w:rFonts w:ascii="仿宋" w:eastAsia="仿宋" w:hAnsi="仿宋" w:hint="eastAsia"/>
          <w:sz w:val="32"/>
          <w:szCs w:val="32"/>
        </w:rPr>
        <w:t>全县财政收入占GDP的比重为</w:t>
      </w:r>
      <w:r w:rsidR="006D7425" w:rsidRPr="00E7206A">
        <w:rPr>
          <w:rFonts w:ascii="仿宋" w:eastAsia="仿宋" w:hAnsi="仿宋" w:hint="eastAsia"/>
          <w:sz w:val="32"/>
          <w:szCs w:val="32"/>
        </w:rPr>
        <w:t>1</w:t>
      </w:r>
      <w:r w:rsidR="00A913E7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%，比上年</w:t>
      </w:r>
      <w:r w:rsidR="006D7425" w:rsidRPr="00E7206A">
        <w:rPr>
          <w:rFonts w:ascii="仿宋" w:eastAsia="仿宋" w:hAnsi="仿宋" w:hint="eastAsia"/>
          <w:sz w:val="32"/>
          <w:szCs w:val="32"/>
        </w:rPr>
        <w:t>下降</w:t>
      </w:r>
      <w:r w:rsidR="00A913E7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913E7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个百分点。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lastRenderedPageBreak/>
        <w:drawing>
          <wp:inline distT="0" distB="0" distL="0" distR="0">
            <wp:extent cx="5274310" cy="3718266"/>
            <wp:effectExtent l="0" t="0" r="0" b="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2744" w:rsidRPr="00E7206A" w:rsidRDefault="00F52744" w:rsidP="00AB6E6B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二、农业</w:t>
      </w:r>
    </w:p>
    <w:p w:rsidR="00F52744" w:rsidRPr="00E7206A" w:rsidRDefault="00F52744" w:rsidP="005E04B7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32"/>
          <w:szCs w:val="32"/>
        </w:rPr>
        <w:t>全年实现农林牧渔业总产值</w:t>
      </w:r>
      <w:r w:rsidR="000D15AF">
        <w:rPr>
          <w:rFonts w:ascii="仿宋" w:eastAsia="仿宋" w:hAnsi="仿宋" w:hint="eastAsia"/>
          <w:sz w:val="32"/>
          <w:szCs w:val="32"/>
        </w:rPr>
        <w:t>10</w:t>
      </w:r>
      <w:r w:rsidR="00CF0BC5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86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 w:rsidR="000D15AF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%。其中：农业产值</w:t>
      </w:r>
      <w:r w:rsidR="00CF0BC5" w:rsidRPr="00E7206A">
        <w:rPr>
          <w:rFonts w:ascii="仿宋" w:eastAsia="仿宋" w:hAnsi="仿宋" w:hint="eastAsia"/>
          <w:sz w:val="32"/>
          <w:szCs w:val="32"/>
        </w:rPr>
        <w:t>7</w:t>
      </w:r>
      <w:r w:rsidR="000D15AF">
        <w:rPr>
          <w:rFonts w:ascii="仿宋" w:eastAsia="仿宋" w:hAnsi="仿宋" w:hint="eastAsia"/>
          <w:sz w:val="32"/>
          <w:szCs w:val="32"/>
        </w:rPr>
        <w:t>7</w:t>
      </w:r>
      <w:r w:rsidR="002D2817" w:rsidRPr="00E7206A">
        <w:rPr>
          <w:rFonts w:ascii="仿宋" w:eastAsia="仿宋" w:hAnsi="仿宋" w:hint="eastAsia"/>
          <w:sz w:val="32"/>
          <w:szCs w:val="32"/>
        </w:rPr>
        <w:t>.6</w:t>
      </w:r>
      <w:r w:rsidR="000D15AF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0D15A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%；林业产值0.</w:t>
      </w:r>
      <w:r w:rsidR="000D15AF">
        <w:rPr>
          <w:rFonts w:ascii="仿宋" w:eastAsia="仿宋" w:hAnsi="仿宋" w:hint="eastAsia"/>
          <w:sz w:val="32"/>
          <w:szCs w:val="32"/>
        </w:rPr>
        <w:t>80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0D15AF" w:rsidRPr="00E7206A">
        <w:rPr>
          <w:rFonts w:ascii="仿宋" w:eastAsia="仿宋" w:hAnsi="仿宋" w:hint="eastAsia"/>
          <w:sz w:val="32"/>
          <w:szCs w:val="32"/>
        </w:rPr>
        <w:t>增长</w:t>
      </w:r>
      <w:r w:rsidR="000D15AF">
        <w:rPr>
          <w:rFonts w:ascii="仿宋" w:eastAsia="仿宋" w:hAnsi="仿宋" w:hint="eastAsia"/>
          <w:sz w:val="32"/>
          <w:szCs w:val="32"/>
        </w:rPr>
        <w:t>33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%；牧业产值</w:t>
      </w:r>
      <w:r w:rsidR="000D15AF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59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8D146E" w:rsidRPr="00E7206A">
        <w:rPr>
          <w:rFonts w:ascii="仿宋" w:eastAsia="仿宋" w:hAnsi="仿宋" w:hint="eastAsia"/>
          <w:sz w:val="32"/>
          <w:szCs w:val="32"/>
        </w:rPr>
        <w:t>增长</w:t>
      </w:r>
      <w:r w:rsidR="000D15AF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%；渔业产值0.0</w:t>
      </w:r>
      <w:r w:rsidR="008D146E" w:rsidRPr="00E7206A">
        <w:rPr>
          <w:rFonts w:ascii="仿宋" w:eastAsia="仿宋" w:hAnsi="仿宋" w:hint="eastAsia"/>
          <w:sz w:val="32"/>
          <w:szCs w:val="32"/>
        </w:rPr>
        <w:t>8亿元，下降</w:t>
      </w:r>
      <w:r w:rsidR="000D15AF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%；农林牧渔服务业总产值</w:t>
      </w:r>
      <w:r w:rsidR="002D2817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70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0D15AF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drawing>
          <wp:inline distT="0" distB="0" distL="0" distR="0">
            <wp:extent cx="5274310" cy="2831889"/>
            <wp:effectExtent l="0" t="0" r="0" b="0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全年粮食播种面积4</w:t>
      </w:r>
      <w:r w:rsidR="004F39F0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48</w:t>
      </w:r>
      <w:r w:rsidRPr="00E7206A">
        <w:rPr>
          <w:rFonts w:ascii="仿宋" w:eastAsia="仿宋" w:hAnsi="仿宋" w:hint="eastAsia"/>
          <w:sz w:val="32"/>
          <w:szCs w:val="32"/>
        </w:rPr>
        <w:t>万亩，比上年</w:t>
      </w:r>
      <w:r w:rsidR="004F39F0">
        <w:rPr>
          <w:rFonts w:ascii="仿宋" w:eastAsia="仿宋" w:hAnsi="仿宋" w:hint="eastAsia"/>
          <w:sz w:val="32"/>
          <w:szCs w:val="32"/>
        </w:rPr>
        <w:t>下降7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%；粮食总产量1</w:t>
      </w:r>
      <w:r w:rsidR="004F39F0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24F3A">
        <w:rPr>
          <w:rFonts w:ascii="仿宋" w:eastAsia="仿宋" w:hAnsi="仿宋" w:hint="eastAsia"/>
          <w:sz w:val="32"/>
          <w:szCs w:val="32"/>
        </w:rPr>
        <w:t>14</w:t>
      </w:r>
      <w:r w:rsidRPr="00E7206A">
        <w:rPr>
          <w:rFonts w:ascii="仿宋" w:eastAsia="仿宋" w:hAnsi="仿宋" w:hint="eastAsia"/>
          <w:sz w:val="32"/>
          <w:szCs w:val="32"/>
        </w:rPr>
        <w:t>万吨，比上年</w:t>
      </w:r>
      <w:r w:rsidR="004F39F0">
        <w:rPr>
          <w:rFonts w:ascii="仿宋" w:eastAsia="仿宋" w:hAnsi="仿宋" w:hint="eastAsia"/>
          <w:sz w:val="32"/>
          <w:szCs w:val="32"/>
        </w:rPr>
        <w:t>下降6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%。其中，夏粮产量</w:t>
      </w:r>
      <w:r w:rsidR="003177CB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81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4F39F0">
        <w:rPr>
          <w:rFonts w:ascii="仿宋" w:eastAsia="仿宋" w:hAnsi="仿宋" w:hint="eastAsia"/>
          <w:sz w:val="32"/>
          <w:szCs w:val="32"/>
        </w:rPr>
        <w:t>下降7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%；秋粮产量1</w:t>
      </w:r>
      <w:r w:rsidR="004F39F0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33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4F39F0">
        <w:rPr>
          <w:rFonts w:ascii="仿宋" w:eastAsia="仿宋" w:hAnsi="仿宋" w:hint="eastAsia"/>
          <w:sz w:val="32"/>
          <w:szCs w:val="32"/>
        </w:rPr>
        <w:t>下降6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%。全年棉花播种面积</w:t>
      </w:r>
      <w:r w:rsidR="003177CB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F39F0">
        <w:rPr>
          <w:rFonts w:ascii="仿宋" w:eastAsia="仿宋" w:hAnsi="仿宋" w:hint="eastAsia"/>
          <w:sz w:val="32"/>
          <w:szCs w:val="32"/>
        </w:rPr>
        <w:t>07</w:t>
      </w:r>
      <w:r w:rsidRPr="00E7206A">
        <w:rPr>
          <w:rFonts w:ascii="仿宋" w:eastAsia="仿宋" w:hAnsi="仿宋" w:hint="eastAsia"/>
          <w:sz w:val="32"/>
          <w:szCs w:val="32"/>
        </w:rPr>
        <w:t>万亩，比上年下降</w:t>
      </w:r>
      <w:r w:rsidR="0045105F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%；棉花总产量</w:t>
      </w:r>
      <w:r w:rsidR="008D146E" w:rsidRPr="00E7206A">
        <w:rPr>
          <w:rFonts w:ascii="仿宋" w:eastAsia="仿宋" w:hAnsi="仿宋" w:hint="eastAsia"/>
          <w:sz w:val="32"/>
          <w:szCs w:val="32"/>
        </w:rPr>
        <w:t>5</w:t>
      </w:r>
      <w:r w:rsidR="0045105F">
        <w:rPr>
          <w:rFonts w:ascii="仿宋" w:eastAsia="仿宋" w:hAnsi="仿宋" w:hint="eastAsia"/>
          <w:sz w:val="32"/>
          <w:szCs w:val="32"/>
        </w:rPr>
        <w:t>89</w:t>
      </w:r>
      <w:r w:rsidRPr="00E7206A">
        <w:rPr>
          <w:rFonts w:ascii="仿宋" w:eastAsia="仿宋" w:hAnsi="仿宋" w:hint="eastAsia"/>
          <w:sz w:val="32"/>
          <w:szCs w:val="32"/>
        </w:rPr>
        <w:t>吨，比上年下降</w:t>
      </w:r>
      <w:r w:rsidR="0045105F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%。油料作物播种面积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88</w:t>
      </w:r>
      <w:r w:rsidR="008D146E" w:rsidRPr="00E7206A">
        <w:rPr>
          <w:rFonts w:ascii="仿宋" w:eastAsia="仿宋" w:hAnsi="仿宋" w:hint="eastAsia"/>
          <w:sz w:val="32"/>
          <w:szCs w:val="32"/>
        </w:rPr>
        <w:t>万亩，比上年下降</w:t>
      </w:r>
      <w:r w:rsidR="0045105F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%；油料总产量</w:t>
      </w:r>
      <w:r w:rsidR="003177CB" w:rsidRPr="00E7206A">
        <w:rPr>
          <w:rFonts w:ascii="仿宋" w:eastAsia="仿宋" w:hAnsi="仿宋" w:hint="eastAsia"/>
          <w:sz w:val="32"/>
          <w:szCs w:val="32"/>
        </w:rPr>
        <w:t>8</w:t>
      </w:r>
      <w:r w:rsidR="0045105F">
        <w:rPr>
          <w:rFonts w:ascii="仿宋" w:eastAsia="仿宋" w:hAnsi="仿宋" w:hint="eastAsia"/>
          <w:sz w:val="32"/>
          <w:szCs w:val="32"/>
        </w:rPr>
        <w:t>512</w:t>
      </w:r>
      <w:r w:rsidRPr="00E7206A">
        <w:rPr>
          <w:rFonts w:ascii="仿宋" w:eastAsia="仿宋" w:hAnsi="仿宋" w:hint="eastAsia"/>
          <w:sz w:val="32"/>
          <w:szCs w:val="32"/>
        </w:rPr>
        <w:t>吨，比上年</w:t>
      </w:r>
      <w:r w:rsidR="008D146E" w:rsidRPr="00E7206A">
        <w:rPr>
          <w:rFonts w:ascii="仿宋" w:eastAsia="仿宋" w:hAnsi="仿宋" w:hint="eastAsia"/>
          <w:sz w:val="32"/>
          <w:szCs w:val="32"/>
        </w:rPr>
        <w:t>下降</w:t>
      </w:r>
      <w:r w:rsidR="0045105F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="00324F3A">
        <w:rPr>
          <w:rFonts w:ascii="仿宋" w:eastAsia="仿宋" w:hAnsi="仿宋" w:hint="eastAsia"/>
          <w:sz w:val="32"/>
          <w:szCs w:val="32"/>
        </w:rPr>
        <w:t>%</w:t>
      </w:r>
      <w:r w:rsidRPr="00E7206A">
        <w:rPr>
          <w:rFonts w:ascii="仿宋" w:eastAsia="仿宋" w:hAnsi="仿宋" w:hint="eastAsia"/>
          <w:sz w:val="32"/>
          <w:szCs w:val="32"/>
        </w:rPr>
        <w:t>。全年蔬菜种植面积36.</w:t>
      </w:r>
      <w:r w:rsidR="0045105F">
        <w:rPr>
          <w:rFonts w:ascii="仿宋" w:eastAsia="仿宋" w:hAnsi="仿宋" w:hint="eastAsia"/>
          <w:sz w:val="32"/>
          <w:szCs w:val="32"/>
        </w:rPr>
        <w:t>85</w:t>
      </w:r>
      <w:r w:rsidRPr="00E7206A">
        <w:rPr>
          <w:rFonts w:ascii="仿宋" w:eastAsia="仿宋" w:hAnsi="仿宋" w:hint="eastAsia"/>
          <w:sz w:val="32"/>
          <w:szCs w:val="32"/>
        </w:rPr>
        <w:t>万亩，比上年增长</w:t>
      </w:r>
      <w:r w:rsidR="008D146E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%；蔬菜总产量1</w:t>
      </w:r>
      <w:r w:rsidR="0045105F">
        <w:rPr>
          <w:rFonts w:ascii="仿宋" w:eastAsia="仿宋" w:hAnsi="仿宋" w:hint="eastAsia"/>
          <w:sz w:val="32"/>
          <w:szCs w:val="32"/>
        </w:rPr>
        <w:t>9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3</w:t>
      </w:r>
      <w:r w:rsidR="0045105F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万吨，比上年增长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%。其中：设施蔬菜播种面积1</w:t>
      </w:r>
      <w:r w:rsidR="0045105F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06</w:t>
      </w:r>
      <w:r w:rsidRPr="00E7206A">
        <w:rPr>
          <w:rFonts w:ascii="仿宋" w:eastAsia="仿宋" w:hAnsi="仿宋" w:hint="eastAsia"/>
          <w:sz w:val="32"/>
          <w:szCs w:val="32"/>
        </w:rPr>
        <w:t>万亩，</w:t>
      </w:r>
      <w:r w:rsidR="0045105F">
        <w:rPr>
          <w:rFonts w:ascii="仿宋" w:eastAsia="仿宋" w:hAnsi="仿宋" w:hint="eastAsia"/>
          <w:sz w:val="32"/>
          <w:szCs w:val="32"/>
        </w:rPr>
        <w:t>增长2</w:t>
      </w:r>
      <w:r w:rsidR="003177CB"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%；产量达</w:t>
      </w:r>
      <w:r w:rsidR="0045105F">
        <w:rPr>
          <w:rFonts w:ascii="仿宋" w:eastAsia="仿宋" w:hAnsi="仿宋" w:hint="eastAsia"/>
          <w:sz w:val="32"/>
          <w:szCs w:val="32"/>
        </w:rPr>
        <w:t>73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25</w:t>
      </w:r>
      <w:r w:rsidR="008D146E" w:rsidRPr="00E7206A">
        <w:rPr>
          <w:rFonts w:ascii="仿宋" w:eastAsia="仿宋" w:hAnsi="仿宋" w:hint="eastAsia"/>
          <w:sz w:val="32"/>
          <w:szCs w:val="32"/>
        </w:rPr>
        <w:t>万吨，</w:t>
      </w:r>
      <w:r w:rsidR="0045105F">
        <w:rPr>
          <w:rFonts w:ascii="仿宋" w:eastAsia="仿宋" w:hAnsi="仿宋" w:hint="eastAsia"/>
          <w:sz w:val="32"/>
          <w:szCs w:val="32"/>
        </w:rPr>
        <w:t>增长6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年末实有果园面积</w:t>
      </w:r>
      <w:r w:rsidR="003177CB" w:rsidRPr="00E7206A">
        <w:rPr>
          <w:rFonts w:ascii="仿宋" w:eastAsia="仿宋" w:hAnsi="仿宋" w:hint="eastAsia"/>
          <w:sz w:val="32"/>
          <w:szCs w:val="32"/>
        </w:rPr>
        <w:t>16.</w:t>
      </w:r>
      <w:r w:rsidR="0045105F">
        <w:rPr>
          <w:rFonts w:ascii="仿宋" w:eastAsia="仿宋" w:hAnsi="仿宋" w:hint="eastAsia"/>
          <w:sz w:val="32"/>
          <w:szCs w:val="32"/>
        </w:rPr>
        <w:t>48</w:t>
      </w:r>
      <w:r w:rsidRPr="00E7206A">
        <w:rPr>
          <w:rFonts w:ascii="仿宋" w:eastAsia="仿宋" w:hAnsi="仿宋" w:hint="eastAsia"/>
          <w:sz w:val="32"/>
          <w:szCs w:val="32"/>
        </w:rPr>
        <w:t>万亩，园林水果产量达到2</w:t>
      </w:r>
      <w:r w:rsidR="0045105F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万吨。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肉类总产量</w:t>
      </w:r>
      <w:r w:rsidR="003177CB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0</w:t>
      </w:r>
      <w:r w:rsidR="0045105F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万吨，比上年下降</w:t>
      </w:r>
      <w:r w:rsidR="0045105F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%。其中，猪肉产量</w:t>
      </w:r>
      <w:r w:rsidR="005A5B2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68</w:t>
      </w:r>
      <w:r w:rsidRPr="00E7206A">
        <w:rPr>
          <w:rFonts w:ascii="仿宋" w:eastAsia="仿宋" w:hAnsi="仿宋" w:hint="eastAsia"/>
          <w:sz w:val="32"/>
          <w:szCs w:val="32"/>
        </w:rPr>
        <w:t>万吨，下降</w:t>
      </w:r>
      <w:r w:rsidR="0045105F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%；牛肉产量</w:t>
      </w:r>
      <w:r w:rsidR="003177CB" w:rsidRPr="00E7206A">
        <w:rPr>
          <w:rFonts w:ascii="仿宋" w:eastAsia="仿宋" w:hAnsi="仿宋" w:hint="eastAsia"/>
          <w:sz w:val="32"/>
          <w:szCs w:val="32"/>
        </w:rPr>
        <w:t>0.3</w:t>
      </w:r>
      <w:r w:rsidR="0045105F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45105F">
        <w:rPr>
          <w:rFonts w:ascii="仿宋" w:eastAsia="仿宋" w:hAnsi="仿宋" w:hint="eastAsia"/>
          <w:sz w:val="32"/>
          <w:szCs w:val="32"/>
        </w:rPr>
        <w:t>增长</w:t>
      </w:r>
      <w:r w:rsidR="005A5B2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%；羊肉产量</w:t>
      </w:r>
      <w:r w:rsidR="003177CB" w:rsidRPr="00E7206A">
        <w:rPr>
          <w:rFonts w:ascii="仿宋" w:eastAsia="仿宋" w:hAnsi="仿宋" w:hint="eastAsia"/>
          <w:sz w:val="32"/>
          <w:szCs w:val="32"/>
        </w:rPr>
        <w:t>0.</w:t>
      </w:r>
      <w:r w:rsidR="0045105F">
        <w:rPr>
          <w:rFonts w:ascii="仿宋" w:eastAsia="仿宋" w:hAnsi="仿宋" w:hint="eastAsia"/>
          <w:sz w:val="32"/>
          <w:szCs w:val="32"/>
        </w:rPr>
        <w:t>64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5A5B26" w:rsidRPr="00E7206A">
        <w:rPr>
          <w:rFonts w:ascii="仿宋" w:eastAsia="仿宋" w:hAnsi="仿宋" w:hint="eastAsia"/>
          <w:sz w:val="32"/>
          <w:szCs w:val="32"/>
        </w:rPr>
        <w:t>增长</w:t>
      </w:r>
      <w:r w:rsidR="0045105F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%。禽蛋产量1.</w:t>
      </w:r>
      <w:r w:rsidR="0045105F">
        <w:rPr>
          <w:rFonts w:ascii="仿宋" w:eastAsia="仿宋" w:hAnsi="仿宋" w:hint="eastAsia"/>
          <w:sz w:val="32"/>
          <w:szCs w:val="32"/>
        </w:rPr>
        <w:t>13</w:t>
      </w:r>
      <w:r w:rsidRPr="00E7206A">
        <w:rPr>
          <w:rFonts w:ascii="仿宋" w:eastAsia="仿宋" w:hAnsi="仿宋" w:hint="eastAsia"/>
          <w:sz w:val="32"/>
          <w:szCs w:val="32"/>
        </w:rPr>
        <w:t>万吨，比上年</w:t>
      </w:r>
      <w:r w:rsidR="005A5B26" w:rsidRPr="00E7206A">
        <w:rPr>
          <w:rFonts w:ascii="仿宋" w:eastAsia="仿宋" w:hAnsi="仿宋" w:hint="eastAsia"/>
          <w:sz w:val="32"/>
          <w:szCs w:val="32"/>
        </w:rPr>
        <w:t>增长</w:t>
      </w:r>
      <w:r w:rsidR="0045105F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%。牛奶总产量</w:t>
      </w:r>
      <w:r w:rsidR="004B794B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32</w:t>
      </w:r>
      <w:r w:rsidRPr="00E7206A">
        <w:rPr>
          <w:rFonts w:ascii="仿宋" w:eastAsia="仿宋" w:hAnsi="仿宋" w:hint="eastAsia"/>
          <w:sz w:val="32"/>
          <w:szCs w:val="32"/>
        </w:rPr>
        <w:t>万吨，比上年</w:t>
      </w:r>
      <w:r w:rsidR="0045105F">
        <w:rPr>
          <w:rFonts w:ascii="仿宋" w:eastAsia="仿宋" w:hAnsi="仿宋" w:hint="eastAsia"/>
          <w:sz w:val="32"/>
          <w:szCs w:val="32"/>
        </w:rPr>
        <w:t>增长</w:t>
      </w:r>
      <w:r w:rsidR="005A5B2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水产品产量5</w:t>
      </w:r>
      <w:r w:rsidR="0045105F">
        <w:rPr>
          <w:rFonts w:ascii="仿宋" w:eastAsia="仿宋" w:hAnsi="仿宋" w:hint="eastAsia"/>
          <w:sz w:val="32"/>
          <w:szCs w:val="32"/>
        </w:rPr>
        <w:t>27</w:t>
      </w:r>
      <w:r w:rsidRPr="00E7206A">
        <w:rPr>
          <w:rFonts w:ascii="仿宋" w:eastAsia="仿宋" w:hAnsi="仿宋" w:hint="eastAsia"/>
          <w:sz w:val="32"/>
          <w:szCs w:val="32"/>
        </w:rPr>
        <w:t>吨，比上年</w:t>
      </w:r>
      <w:r w:rsidR="005A5B26" w:rsidRPr="00E7206A">
        <w:rPr>
          <w:rFonts w:ascii="仿宋" w:eastAsia="仿宋" w:hAnsi="仿宋" w:hint="eastAsia"/>
          <w:sz w:val="32"/>
          <w:szCs w:val="32"/>
        </w:rPr>
        <w:t>下降</w:t>
      </w:r>
      <w:r w:rsidR="004B794B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5105F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b/>
          <w:sz w:val="28"/>
          <w:szCs w:val="28"/>
        </w:rPr>
        <w:t>畜牧、水产业主要产品产量完成情况</w:t>
      </w:r>
      <w:r w:rsidR="00AB6E6B" w:rsidRPr="00E7206A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0" w:type="auto"/>
        <w:tblLayout w:type="fixed"/>
        <w:tblLook w:val="0000"/>
      </w:tblPr>
      <w:tblGrid>
        <w:gridCol w:w="2712"/>
        <w:gridCol w:w="1255"/>
        <w:gridCol w:w="2259"/>
        <w:gridCol w:w="1979"/>
      </w:tblGrid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指标名称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5105F" w:rsidP="0045105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年完成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比上年±%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猪存栏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羊存栏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猪出栏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5A5B26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36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45105F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羊出栏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肉类总产量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193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禽蛋产量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1336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5105F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牛奶产量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5A5B26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水产品产量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45105F">
            <w:pPr>
              <w:spacing w:line="5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45105F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5105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</w:tbl>
    <w:p w:rsidR="00F52744" w:rsidRPr="00E7206A" w:rsidRDefault="00F52744" w:rsidP="00AB6E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2744" w:rsidRPr="00E7206A" w:rsidRDefault="00F52744" w:rsidP="00034A48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三、工业和建筑业</w:t>
      </w:r>
    </w:p>
    <w:p w:rsidR="00F52744" w:rsidRPr="00E7206A" w:rsidRDefault="00006216" w:rsidP="00AB6E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全部工业增加值比上年增长</w:t>
      </w:r>
      <w:r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%。其中，规模以上工业增加值增长4.</w:t>
      </w:r>
      <w:r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%；规模以下工业增加值增长</w:t>
      </w:r>
      <w:r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  <w:r w:rsidRPr="00006216">
        <w:rPr>
          <w:rFonts w:ascii="仿宋" w:eastAsia="仿宋" w:hAnsi="仿宋" w:hint="eastAsia"/>
          <w:sz w:val="32"/>
          <w:szCs w:val="32"/>
        </w:rPr>
        <w:t>在规模以上工业增加值中，分经济类型看，股份制企业增长7.9%，外商及港澳台企业下降9.8%，其他企业下降41.1%；分轻重工看，轻工业增长9.6%，重工业增长2.6%。</w:t>
      </w:r>
      <w:r w:rsidR="00F52744" w:rsidRPr="00E7206A">
        <w:rPr>
          <w:rFonts w:ascii="仿宋" w:eastAsia="仿宋" w:hAnsi="仿宋" w:hint="eastAsia"/>
          <w:sz w:val="32"/>
          <w:szCs w:val="32"/>
        </w:rPr>
        <w:t>规模以上工业高新技术产业增加值比上年</w:t>
      </w:r>
      <w:r w:rsidR="00B107F4">
        <w:rPr>
          <w:rFonts w:ascii="仿宋" w:eastAsia="仿宋" w:hAnsi="仿宋" w:hint="eastAsia"/>
          <w:sz w:val="32"/>
          <w:szCs w:val="32"/>
        </w:rPr>
        <w:t>下降0</w:t>
      </w:r>
      <w:r w:rsidR="00F52744" w:rsidRPr="00E7206A">
        <w:rPr>
          <w:rFonts w:ascii="仿宋" w:eastAsia="仿宋" w:hAnsi="仿宋" w:hint="eastAsia"/>
          <w:sz w:val="32"/>
          <w:szCs w:val="32"/>
        </w:rPr>
        <w:t>.</w:t>
      </w:r>
      <w:r w:rsidR="00B107F4">
        <w:rPr>
          <w:rFonts w:ascii="仿宋" w:eastAsia="仿宋" w:hAnsi="仿宋" w:hint="eastAsia"/>
          <w:sz w:val="32"/>
          <w:szCs w:val="32"/>
        </w:rPr>
        <w:t>7</w:t>
      </w:r>
      <w:r w:rsidR="00F52744" w:rsidRPr="00E7206A">
        <w:rPr>
          <w:rFonts w:ascii="仿宋" w:eastAsia="仿宋" w:hAnsi="仿宋" w:hint="eastAsia"/>
          <w:sz w:val="32"/>
          <w:szCs w:val="32"/>
        </w:rPr>
        <w:t>%，占规模以上工业增加值的</w:t>
      </w:r>
      <w:r w:rsidR="00141285" w:rsidRPr="00E7206A">
        <w:rPr>
          <w:rFonts w:ascii="仿宋" w:eastAsia="仿宋" w:hAnsi="仿宋" w:hint="eastAsia"/>
          <w:sz w:val="32"/>
          <w:szCs w:val="32"/>
        </w:rPr>
        <w:t>3</w:t>
      </w:r>
      <w:r w:rsidR="00B107F4">
        <w:rPr>
          <w:rFonts w:ascii="仿宋" w:eastAsia="仿宋" w:hAnsi="仿宋" w:hint="eastAsia"/>
          <w:sz w:val="32"/>
          <w:szCs w:val="32"/>
        </w:rPr>
        <w:t>9</w:t>
      </w:r>
      <w:r w:rsidR="00F52744" w:rsidRPr="00E7206A">
        <w:rPr>
          <w:rFonts w:ascii="仿宋" w:eastAsia="仿宋" w:hAnsi="仿宋" w:hint="eastAsia"/>
          <w:sz w:val="32"/>
          <w:szCs w:val="32"/>
        </w:rPr>
        <w:t>.</w:t>
      </w:r>
      <w:r w:rsidR="00B107F4">
        <w:rPr>
          <w:rFonts w:ascii="仿宋" w:eastAsia="仿宋" w:hAnsi="仿宋" w:hint="eastAsia"/>
          <w:sz w:val="32"/>
          <w:szCs w:val="32"/>
        </w:rPr>
        <w:t>3</w:t>
      </w:r>
      <w:r w:rsidR="00F52744"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drawing>
          <wp:inline distT="0" distB="0" distL="0" distR="0">
            <wp:extent cx="5274310" cy="3145662"/>
            <wp:effectExtent l="0" t="0" r="0" b="0"/>
            <wp:docPr id="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6216" w:rsidRPr="00006216" w:rsidRDefault="00006216" w:rsidP="0000621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06216">
        <w:rPr>
          <w:rFonts w:ascii="仿宋" w:eastAsia="仿宋" w:hAnsi="仿宋" w:hint="eastAsia"/>
          <w:sz w:val="32"/>
          <w:szCs w:val="32"/>
        </w:rPr>
        <w:t>年末列统规模以上工业企业79家，实现工业总产值</w:t>
      </w:r>
      <w:r w:rsidRPr="00006216">
        <w:rPr>
          <w:rFonts w:ascii="仿宋" w:eastAsia="仿宋" w:hAnsi="仿宋" w:hint="eastAsia"/>
          <w:sz w:val="32"/>
          <w:szCs w:val="32"/>
        </w:rPr>
        <w:lastRenderedPageBreak/>
        <w:t>112.35亿元，比上年增长6.8%；产销率为98.7%，比上年下降0.1个百分点。实现利润53943.7万元，比上年增长20.1%。其中：股份制企业实现利润35859.0万元，增长9.7%；外商及港澳台商实现利润18006万元，增长48.1%；其他企业实现利润69.7万元，增长3.6%。上缴税金23532.1万元，比上年增长16.7%。其中：股份制企业上缴税金15933.7万元，下降9.5%；外商及港澳台商上缴税金7386.1万元，增长38.7%；其他企业上缴税金212.3万元，下降25.1%。</w:t>
      </w:r>
    </w:p>
    <w:p w:rsidR="00006216" w:rsidRPr="00E7206A" w:rsidRDefault="00F52744" w:rsidP="00006216">
      <w:pPr>
        <w:spacing w:line="620" w:lineRule="exact"/>
        <w:ind w:firstLineChars="200" w:firstLine="640"/>
        <w:rPr>
          <w:rFonts w:ascii="仿宋" w:eastAsia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全社会建筑业实现增加值</w:t>
      </w:r>
      <w:r w:rsidR="005811AB" w:rsidRPr="00E7206A">
        <w:rPr>
          <w:rFonts w:ascii="仿宋" w:eastAsia="仿宋" w:hAnsi="仿宋" w:hint="eastAsia"/>
          <w:sz w:val="32"/>
          <w:szCs w:val="32"/>
        </w:rPr>
        <w:t>13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06216">
        <w:rPr>
          <w:rFonts w:ascii="仿宋" w:eastAsia="仿宋" w:hAnsi="仿宋" w:hint="eastAsia"/>
          <w:sz w:val="32"/>
          <w:szCs w:val="32"/>
        </w:rPr>
        <w:t>12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006216" w:rsidRPr="00E7206A">
        <w:rPr>
          <w:rFonts w:ascii="仿宋" w:eastAsia="仿宋"/>
          <w:sz w:val="32"/>
          <w:szCs w:val="32"/>
        </w:rPr>
        <w:t>增长</w:t>
      </w:r>
      <w:r w:rsidR="00006216">
        <w:rPr>
          <w:rFonts w:ascii="仿宋" w:eastAsia="仿宋" w:hAnsi="仿宋" w:hint="eastAsia"/>
          <w:sz w:val="32"/>
          <w:szCs w:val="32"/>
        </w:rPr>
        <w:t>31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06216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  <w:r w:rsidR="00006216" w:rsidRPr="00E7206A">
        <w:rPr>
          <w:rFonts w:ascii="仿宋" w:eastAsia="仿宋" w:hint="eastAsia"/>
          <w:sz w:val="32"/>
          <w:szCs w:val="32"/>
        </w:rPr>
        <w:t>年末列统具有资质等级的建筑业企业</w:t>
      </w:r>
      <w:r w:rsidR="00006216">
        <w:rPr>
          <w:rFonts w:ascii="仿宋" w:eastAsia="仿宋" w:hint="eastAsia"/>
          <w:sz w:val="32"/>
          <w:szCs w:val="32"/>
        </w:rPr>
        <w:t>12</w:t>
      </w:r>
      <w:r w:rsidR="00006216" w:rsidRPr="00E7206A">
        <w:rPr>
          <w:rFonts w:ascii="仿宋" w:eastAsia="仿宋" w:hint="eastAsia"/>
          <w:sz w:val="32"/>
          <w:szCs w:val="32"/>
        </w:rPr>
        <w:t>家，全年累计完成建筑业总产值</w:t>
      </w:r>
      <w:r w:rsidR="00006216">
        <w:rPr>
          <w:rFonts w:ascii="仿宋" w:eastAsia="仿宋" w:hint="eastAsia"/>
          <w:sz w:val="32"/>
          <w:szCs w:val="32"/>
        </w:rPr>
        <w:t>5.14</w:t>
      </w:r>
      <w:r w:rsidR="00006216" w:rsidRPr="00E7206A">
        <w:rPr>
          <w:rFonts w:ascii="仿宋" w:eastAsia="仿宋" w:hint="eastAsia"/>
          <w:sz w:val="32"/>
          <w:szCs w:val="32"/>
        </w:rPr>
        <w:t>亿元，比上年</w:t>
      </w:r>
      <w:r w:rsidR="00006216">
        <w:rPr>
          <w:rFonts w:ascii="仿宋" w:eastAsia="仿宋" w:hint="eastAsia"/>
          <w:sz w:val="32"/>
          <w:szCs w:val="32"/>
        </w:rPr>
        <w:t>增长40.3</w:t>
      </w:r>
      <w:r w:rsidR="00006216" w:rsidRPr="00E7206A">
        <w:rPr>
          <w:rFonts w:ascii="仿宋" w:eastAsia="仿宋" w:hint="eastAsia"/>
          <w:sz w:val="32"/>
          <w:szCs w:val="32"/>
        </w:rPr>
        <w:t>%；全年房屋施工面积为</w:t>
      </w:r>
      <w:r w:rsidR="00006216">
        <w:rPr>
          <w:rFonts w:ascii="仿宋" w:eastAsia="仿宋" w:hint="eastAsia"/>
          <w:sz w:val="32"/>
          <w:szCs w:val="32"/>
        </w:rPr>
        <w:t>141.59</w:t>
      </w:r>
      <w:r w:rsidR="00006216" w:rsidRPr="00E7206A">
        <w:rPr>
          <w:rFonts w:ascii="仿宋" w:eastAsia="仿宋" w:hint="eastAsia"/>
          <w:sz w:val="32"/>
          <w:szCs w:val="32"/>
        </w:rPr>
        <w:t>万平方米，比上年</w:t>
      </w:r>
      <w:r w:rsidR="00006216" w:rsidRPr="00E7206A">
        <w:rPr>
          <w:rFonts w:ascii="仿宋" w:eastAsia="仿宋"/>
          <w:sz w:val="32"/>
          <w:szCs w:val="32"/>
        </w:rPr>
        <w:t>增长</w:t>
      </w:r>
      <w:r w:rsidR="00006216">
        <w:rPr>
          <w:rFonts w:ascii="仿宋" w:eastAsia="仿宋" w:hint="eastAsia"/>
          <w:sz w:val="32"/>
          <w:szCs w:val="32"/>
        </w:rPr>
        <w:t>26.8</w:t>
      </w:r>
      <w:r w:rsidR="00006216" w:rsidRPr="00E7206A">
        <w:rPr>
          <w:rFonts w:ascii="仿宋" w:eastAsia="仿宋" w:hint="eastAsia"/>
          <w:sz w:val="32"/>
          <w:szCs w:val="32"/>
        </w:rPr>
        <w:t>%；全年竣工面积为</w:t>
      </w:r>
      <w:r w:rsidR="00006216">
        <w:rPr>
          <w:rFonts w:ascii="仿宋" w:eastAsia="仿宋" w:hint="eastAsia"/>
          <w:sz w:val="32"/>
          <w:szCs w:val="32"/>
        </w:rPr>
        <w:t>4.94</w:t>
      </w:r>
      <w:r w:rsidR="00006216" w:rsidRPr="00E7206A">
        <w:rPr>
          <w:rFonts w:ascii="仿宋" w:eastAsia="仿宋" w:hint="eastAsia"/>
          <w:sz w:val="32"/>
          <w:szCs w:val="32"/>
        </w:rPr>
        <w:t>万平方米，比上年</w:t>
      </w:r>
      <w:r w:rsidR="00006216">
        <w:rPr>
          <w:rFonts w:ascii="仿宋" w:eastAsia="仿宋" w:hint="eastAsia"/>
          <w:sz w:val="32"/>
          <w:szCs w:val="32"/>
        </w:rPr>
        <w:t>增长118.6</w:t>
      </w:r>
      <w:r w:rsidR="00006216" w:rsidRPr="00E7206A">
        <w:rPr>
          <w:rFonts w:ascii="仿宋" w:eastAsia="仿宋" w:hint="eastAsia"/>
          <w:sz w:val="32"/>
          <w:szCs w:val="32"/>
        </w:rPr>
        <w:t>%。</w:t>
      </w:r>
    </w:p>
    <w:p w:rsidR="00F52744" w:rsidRPr="00E7206A" w:rsidRDefault="00F52744" w:rsidP="00006216">
      <w:pPr>
        <w:spacing w:line="6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四、固定资产投资</w:t>
      </w:r>
    </w:p>
    <w:p w:rsidR="00F344D8" w:rsidRPr="00E7206A" w:rsidRDefault="00F344D8" w:rsidP="00F344D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全社会固定资产投资完成</w:t>
      </w:r>
      <w:r>
        <w:rPr>
          <w:rFonts w:ascii="仿宋" w:eastAsia="仿宋" w:hAnsi="仿宋" w:hint="eastAsia"/>
          <w:sz w:val="32"/>
          <w:szCs w:val="32"/>
        </w:rPr>
        <w:t>102.75</w:t>
      </w:r>
      <w:r w:rsidRPr="00E7206A">
        <w:rPr>
          <w:rFonts w:ascii="仿宋" w:eastAsia="仿宋" w:hAnsi="仿宋" w:hint="eastAsia"/>
          <w:sz w:val="32"/>
          <w:szCs w:val="32"/>
        </w:rPr>
        <w:t>亿元，比上年增长6.</w:t>
      </w:r>
      <w:r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%。其中，固定资产投资（不含农户）完成</w:t>
      </w:r>
      <w:r>
        <w:rPr>
          <w:rFonts w:ascii="仿宋" w:eastAsia="仿宋" w:hAnsi="仿宋" w:hint="eastAsia"/>
          <w:sz w:val="32"/>
          <w:szCs w:val="32"/>
        </w:rPr>
        <w:t>102.69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>
        <w:rPr>
          <w:rFonts w:ascii="仿宋" w:eastAsia="仿宋" w:hAnsi="仿宋" w:hint="eastAsia"/>
          <w:sz w:val="32"/>
          <w:szCs w:val="32"/>
        </w:rPr>
        <w:t>6.9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lastRenderedPageBreak/>
        <w:drawing>
          <wp:inline distT="0" distB="0" distL="0" distR="0">
            <wp:extent cx="5274310" cy="4253023"/>
            <wp:effectExtent l="0" t="0" r="0" b="0"/>
            <wp:docPr id="8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44D8" w:rsidRPr="00E7206A" w:rsidRDefault="00F344D8" w:rsidP="00F344D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从投资构成看：全县固定资产投资（不含农户）中，建设项目完成投资</w:t>
      </w:r>
      <w:r>
        <w:rPr>
          <w:rFonts w:ascii="仿宋" w:eastAsia="仿宋" w:hAnsi="仿宋" w:hint="eastAsia"/>
          <w:sz w:val="32"/>
          <w:szCs w:val="32"/>
        </w:rPr>
        <w:t>81.71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>
        <w:rPr>
          <w:rFonts w:ascii="仿宋" w:eastAsia="仿宋" w:hAnsi="仿宋" w:hint="eastAsia"/>
          <w:sz w:val="32"/>
          <w:szCs w:val="32"/>
        </w:rPr>
        <w:t>83.5</w:t>
      </w:r>
      <w:r w:rsidRPr="00E7206A">
        <w:rPr>
          <w:rFonts w:ascii="仿宋" w:eastAsia="仿宋" w:hAnsi="仿宋" w:hint="eastAsia"/>
          <w:sz w:val="32"/>
          <w:szCs w:val="32"/>
        </w:rPr>
        <w:t>%，占全县固定资产投资的</w:t>
      </w:r>
      <w:r>
        <w:rPr>
          <w:rFonts w:ascii="仿宋" w:eastAsia="仿宋" w:hAnsi="仿宋" w:hint="eastAsia"/>
          <w:sz w:val="32"/>
          <w:szCs w:val="32"/>
        </w:rPr>
        <w:t>79.6</w:t>
      </w:r>
      <w:r w:rsidRPr="00E7206A">
        <w:rPr>
          <w:rFonts w:ascii="仿宋" w:eastAsia="仿宋" w:hAnsi="仿宋" w:hint="eastAsia"/>
          <w:sz w:val="32"/>
          <w:szCs w:val="32"/>
        </w:rPr>
        <w:t>%；房地产开发投资完成</w:t>
      </w:r>
      <w:r>
        <w:rPr>
          <w:rFonts w:ascii="仿宋" w:eastAsia="仿宋" w:hAnsi="仿宋" w:hint="eastAsia"/>
          <w:sz w:val="32"/>
          <w:szCs w:val="32"/>
        </w:rPr>
        <w:t>20.98</w:t>
      </w:r>
      <w:r w:rsidRPr="00E7206A">
        <w:rPr>
          <w:rFonts w:ascii="仿宋" w:eastAsia="仿宋" w:hAnsi="仿宋" w:hint="eastAsia"/>
          <w:sz w:val="32"/>
          <w:szCs w:val="32"/>
        </w:rPr>
        <w:t>亿元，比上年下降</w:t>
      </w:r>
      <w:r>
        <w:rPr>
          <w:rFonts w:ascii="仿宋" w:eastAsia="仿宋" w:hAnsi="仿宋" w:hint="eastAsia"/>
          <w:sz w:val="32"/>
          <w:szCs w:val="32"/>
        </w:rPr>
        <w:t>59.3</w:t>
      </w:r>
      <w:r w:rsidRPr="00E7206A">
        <w:rPr>
          <w:rFonts w:ascii="仿宋" w:eastAsia="仿宋" w:hAnsi="仿宋" w:hint="eastAsia"/>
          <w:sz w:val="32"/>
          <w:szCs w:val="32"/>
        </w:rPr>
        <w:t>%，占全县固定资产投资的</w:t>
      </w:r>
      <w:r>
        <w:rPr>
          <w:rFonts w:ascii="仿宋" w:eastAsia="仿宋" w:hAnsi="仿宋" w:hint="eastAsia"/>
          <w:sz w:val="32"/>
          <w:szCs w:val="32"/>
        </w:rPr>
        <w:t>20.4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344D8" w:rsidRPr="00E7206A" w:rsidRDefault="00F344D8" w:rsidP="00F344D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从三次产业结构看：全县固定资产投资（不含农户）中，第一产业完成投资</w:t>
      </w:r>
      <w:r>
        <w:rPr>
          <w:rFonts w:ascii="仿宋" w:eastAsia="仿宋" w:hAnsi="仿宋" w:hint="eastAsia"/>
          <w:sz w:val="32"/>
          <w:szCs w:val="32"/>
        </w:rPr>
        <w:t>9.66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>
        <w:rPr>
          <w:rFonts w:ascii="仿宋" w:eastAsia="仿宋" w:hAnsi="仿宋" w:hint="eastAsia"/>
          <w:sz w:val="32"/>
          <w:szCs w:val="32"/>
        </w:rPr>
        <w:t>75.2</w:t>
      </w:r>
      <w:r w:rsidRPr="00E7206A">
        <w:rPr>
          <w:rFonts w:ascii="仿宋" w:eastAsia="仿宋" w:hAnsi="仿宋" w:hint="eastAsia"/>
          <w:sz w:val="32"/>
          <w:szCs w:val="32"/>
        </w:rPr>
        <w:t>%，占全县固定资产投资的</w:t>
      </w:r>
      <w:r>
        <w:rPr>
          <w:rFonts w:ascii="仿宋" w:eastAsia="仿宋" w:hAnsi="仿宋" w:hint="eastAsia"/>
          <w:sz w:val="32"/>
          <w:szCs w:val="32"/>
        </w:rPr>
        <w:t>9.4</w:t>
      </w:r>
      <w:r w:rsidRPr="00E7206A">
        <w:rPr>
          <w:rFonts w:ascii="仿宋" w:eastAsia="仿宋" w:hAnsi="仿宋" w:hint="eastAsia"/>
          <w:sz w:val="32"/>
          <w:szCs w:val="32"/>
        </w:rPr>
        <w:t>%；第二产业完成投资</w:t>
      </w:r>
      <w:r>
        <w:rPr>
          <w:rFonts w:ascii="仿宋" w:eastAsia="仿宋" w:hAnsi="仿宋" w:hint="eastAsia"/>
          <w:sz w:val="32"/>
          <w:szCs w:val="32"/>
        </w:rPr>
        <w:t>2.52</w:t>
      </w:r>
      <w:r w:rsidRPr="00E7206A">
        <w:rPr>
          <w:rFonts w:ascii="仿宋" w:eastAsia="仿宋" w:hAnsi="仿宋" w:hint="eastAsia"/>
          <w:sz w:val="32"/>
          <w:szCs w:val="32"/>
        </w:rPr>
        <w:t>亿元，下降</w:t>
      </w:r>
      <w:r>
        <w:rPr>
          <w:rFonts w:ascii="仿宋" w:eastAsia="仿宋" w:hAnsi="仿宋" w:hint="eastAsia"/>
          <w:sz w:val="32"/>
          <w:szCs w:val="32"/>
        </w:rPr>
        <w:t>79.5</w:t>
      </w:r>
      <w:r w:rsidRPr="00E7206A">
        <w:rPr>
          <w:rFonts w:ascii="仿宋" w:eastAsia="仿宋" w:hAnsi="仿宋" w:hint="eastAsia"/>
          <w:sz w:val="32"/>
          <w:szCs w:val="32"/>
        </w:rPr>
        <w:t>%，</w:t>
      </w:r>
      <w:bookmarkStart w:id="0" w:name="OLE_LINK3"/>
      <w:r w:rsidRPr="00E7206A">
        <w:rPr>
          <w:rFonts w:ascii="仿宋" w:eastAsia="仿宋" w:hAnsi="仿宋" w:hint="eastAsia"/>
          <w:sz w:val="32"/>
          <w:szCs w:val="32"/>
        </w:rPr>
        <w:t>占全县固定资产投资的</w:t>
      </w:r>
      <w:r>
        <w:rPr>
          <w:rFonts w:ascii="仿宋" w:eastAsia="仿宋" w:hAnsi="仿宋" w:hint="eastAsia"/>
          <w:sz w:val="32"/>
          <w:szCs w:val="32"/>
        </w:rPr>
        <w:t>2.5</w:t>
      </w:r>
      <w:r w:rsidRPr="00E7206A">
        <w:rPr>
          <w:rFonts w:ascii="仿宋" w:eastAsia="仿宋" w:hAnsi="仿宋" w:hint="eastAsia"/>
          <w:sz w:val="32"/>
          <w:szCs w:val="32"/>
        </w:rPr>
        <w:t>%</w:t>
      </w:r>
      <w:bookmarkEnd w:id="0"/>
      <w:r w:rsidRPr="00E7206A">
        <w:rPr>
          <w:rFonts w:ascii="仿宋" w:eastAsia="仿宋" w:hAnsi="仿宋" w:hint="eastAsia"/>
          <w:sz w:val="32"/>
          <w:szCs w:val="32"/>
        </w:rPr>
        <w:t>；第三产业完成投资</w:t>
      </w:r>
      <w:r>
        <w:rPr>
          <w:rFonts w:ascii="仿宋" w:eastAsia="仿宋" w:hAnsi="仿宋" w:hint="eastAsia"/>
          <w:sz w:val="32"/>
          <w:szCs w:val="32"/>
        </w:rPr>
        <w:t>90.51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15.6</w:t>
      </w:r>
      <w:r w:rsidRPr="00E7206A">
        <w:rPr>
          <w:rFonts w:ascii="仿宋" w:eastAsia="仿宋" w:hAnsi="仿宋" w:hint="eastAsia"/>
          <w:sz w:val="32"/>
          <w:szCs w:val="32"/>
        </w:rPr>
        <w:t>%，占全县固定资产投资的</w:t>
      </w:r>
      <w:r>
        <w:rPr>
          <w:rFonts w:ascii="仿宋" w:eastAsia="仿宋" w:hAnsi="仿宋" w:hint="eastAsia"/>
          <w:sz w:val="32"/>
          <w:szCs w:val="32"/>
        </w:rPr>
        <w:t>88.1</w:t>
      </w:r>
      <w:r w:rsidRPr="00E7206A">
        <w:rPr>
          <w:rFonts w:ascii="仿宋" w:eastAsia="仿宋" w:hAnsi="仿宋" w:hint="eastAsia"/>
          <w:sz w:val="32"/>
          <w:szCs w:val="32"/>
        </w:rPr>
        <w:t>%。在第二产业投资中，工业投资</w:t>
      </w:r>
      <w:r>
        <w:rPr>
          <w:rFonts w:ascii="仿宋" w:eastAsia="仿宋" w:hAnsi="仿宋" w:hint="eastAsia"/>
          <w:sz w:val="32"/>
          <w:szCs w:val="32"/>
        </w:rPr>
        <w:t>2.52</w:t>
      </w:r>
      <w:r w:rsidRPr="00E7206A">
        <w:rPr>
          <w:rFonts w:ascii="仿宋" w:eastAsia="仿宋" w:hAnsi="仿宋" w:hint="eastAsia"/>
          <w:sz w:val="32"/>
          <w:szCs w:val="32"/>
        </w:rPr>
        <w:t>亿元，比上年下降</w:t>
      </w:r>
      <w:r>
        <w:rPr>
          <w:rFonts w:ascii="仿宋" w:eastAsia="仿宋" w:hAnsi="仿宋" w:hint="eastAsia"/>
          <w:sz w:val="32"/>
          <w:szCs w:val="32"/>
        </w:rPr>
        <w:t>79.5</w:t>
      </w:r>
      <w:r w:rsidRPr="00E7206A">
        <w:rPr>
          <w:rFonts w:ascii="仿宋" w:eastAsia="仿宋" w:hAnsi="仿宋" w:hint="eastAsia"/>
          <w:sz w:val="32"/>
          <w:szCs w:val="32"/>
        </w:rPr>
        <w:t>%；其中工业技改投资</w:t>
      </w:r>
      <w:r>
        <w:rPr>
          <w:rFonts w:ascii="仿宋" w:eastAsia="仿宋" w:hAnsi="仿宋" w:hint="eastAsia"/>
          <w:sz w:val="32"/>
          <w:szCs w:val="32"/>
        </w:rPr>
        <w:t>1.53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>
        <w:rPr>
          <w:rFonts w:ascii="仿宋" w:eastAsia="仿宋" w:hAnsi="仿宋" w:hint="eastAsia"/>
          <w:sz w:val="32"/>
          <w:szCs w:val="32"/>
        </w:rPr>
        <w:t>下降87.4</w:t>
      </w:r>
      <w:r w:rsidRPr="00E7206A">
        <w:rPr>
          <w:rFonts w:ascii="仿宋" w:eastAsia="仿宋" w:hAnsi="仿宋" w:hint="eastAsia"/>
          <w:sz w:val="32"/>
          <w:szCs w:val="32"/>
        </w:rPr>
        <w:t>%，占工业投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资的</w:t>
      </w:r>
      <w:r>
        <w:rPr>
          <w:rFonts w:ascii="仿宋" w:eastAsia="仿宋" w:hAnsi="仿宋" w:hint="eastAsia"/>
          <w:sz w:val="32"/>
          <w:szCs w:val="32"/>
        </w:rPr>
        <w:t>60.7</w:t>
      </w:r>
      <w:r w:rsidRPr="00E7206A">
        <w:rPr>
          <w:rFonts w:ascii="仿宋" w:eastAsia="仿宋" w:hAnsi="仿宋" w:hint="eastAsia"/>
          <w:sz w:val="32"/>
          <w:szCs w:val="32"/>
        </w:rPr>
        <w:t>%，比上年</w:t>
      </w:r>
      <w:r>
        <w:rPr>
          <w:rFonts w:ascii="仿宋" w:eastAsia="仿宋" w:hAnsi="仿宋" w:hint="eastAsia"/>
          <w:sz w:val="32"/>
          <w:szCs w:val="32"/>
        </w:rPr>
        <w:t>回落38.1</w:t>
      </w:r>
      <w:r w:rsidRPr="00E7206A">
        <w:rPr>
          <w:rFonts w:ascii="仿宋" w:eastAsia="仿宋" w:hAnsi="仿宋" w:hint="eastAsia"/>
          <w:sz w:val="32"/>
          <w:szCs w:val="32"/>
        </w:rPr>
        <w:t>个百分点。</w:t>
      </w:r>
    </w:p>
    <w:p w:rsidR="00F344D8" w:rsidRPr="00E7206A" w:rsidRDefault="00F344D8" w:rsidP="00F344D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全年列统建设项目</w:t>
      </w:r>
      <w:r>
        <w:rPr>
          <w:rFonts w:ascii="仿宋" w:eastAsia="仿宋" w:hAnsi="仿宋" w:hint="eastAsia"/>
          <w:sz w:val="32"/>
          <w:szCs w:val="32"/>
        </w:rPr>
        <w:t>68</w:t>
      </w:r>
      <w:r w:rsidRPr="00E7206A">
        <w:rPr>
          <w:rFonts w:ascii="仿宋" w:eastAsia="仿宋" w:hAnsi="仿宋" w:hint="eastAsia"/>
          <w:sz w:val="32"/>
          <w:szCs w:val="32"/>
        </w:rPr>
        <w:t>个（不含房地产开发项目），比上年</w:t>
      </w:r>
      <w:r>
        <w:rPr>
          <w:rFonts w:ascii="仿宋" w:eastAsia="仿宋" w:hAnsi="仿宋" w:hint="eastAsia"/>
          <w:sz w:val="32"/>
          <w:szCs w:val="32"/>
        </w:rPr>
        <w:t>下降20.0</w:t>
      </w:r>
      <w:r w:rsidRPr="00E7206A">
        <w:rPr>
          <w:rFonts w:ascii="仿宋" w:eastAsia="仿宋" w:hAnsi="仿宋" w:hint="eastAsia"/>
          <w:sz w:val="32"/>
          <w:szCs w:val="32"/>
        </w:rPr>
        <w:t>%，其中亿元以上项目</w:t>
      </w:r>
      <w:r>
        <w:rPr>
          <w:rFonts w:ascii="仿宋" w:eastAsia="仿宋" w:hAnsi="仿宋" w:hint="eastAsia"/>
          <w:sz w:val="32"/>
          <w:szCs w:val="32"/>
        </w:rPr>
        <w:t>24</w:t>
      </w:r>
      <w:r w:rsidRPr="00E7206A">
        <w:rPr>
          <w:rFonts w:ascii="仿宋" w:eastAsia="仿宋" w:hAnsi="仿宋" w:hint="eastAsia"/>
          <w:sz w:val="32"/>
          <w:szCs w:val="32"/>
        </w:rPr>
        <w:t>个。本年新增入库项目</w:t>
      </w:r>
      <w:r>
        <w:rPr>
          <w:rFonts w:ascii="仿宋" w:eastAsia="仿宋" w:hAnsi="仿宋" w:hint="eastAsia"/>
          <w:sz w:val="32"/>
          <w:szCs w:val="32"/>
        </w:rPr>
        <w:t>52</w:t>
      </w:r>
      <w:r w:rsidRPr="00E7206A">
        <w:rPr>
          <w:rFonts w:ascii="仿宋" w:eastAsia="仿宋" w:hAnsi="仿宋" w:hint="eastAsia"/>
          <w:sz w:val="32"/>
          <w:szCs w:val="32"/>
        </w:rPr>
        <w:t>个，比上年</w:t>
      </w:r>
      <w:r>
        <w:rPr>
          <w:rFonts w:ascii="仿宋" w:eastAsia="仿宋" w:hAnsi="仿宋" w:hint="eastAsia"/>
          <w:sz w:val="32"/>
          <w:szCs w:val="32"/>
        </w:rPr>
        <w:t>下降21.2</w:t>
      </w:r>
      <w:r w:rsidRPr="00E7206A">
        <w:rPr>
          <w:rFonts w:ascii="仿宋" w:eastAsia="仿宋" w:hAnsi="仿宋" w:hint="eastAsia"/>
          <w:sz w:val="32"/>
          <w:szCs w:val="32"/>
        </w:rPr>
        <w:t>%，其中亿元以上项目</w:t>
      </w:r>
      <w:r>
        <w:rPr>
          <w:rFonts w:ascii="仿宋" w:eastAsia="仿宋" w:hAnsi="仿宋" w:hint="eastAsia"/>
          <w:sz w:val="32"/>
          <w:szCs w:val="32"/>
        </w:rPr>
        <w:t>15</w:t>
      </w:r>
      <w:r w:rsidRPr="00E7206A">
        <w:rPr>
          <w:rFonts w:ascii="仿宋" w:eastAsia="仿宋" w:hAnsi="仿宋" w:hint="eastAsia"/>
          <w:sz w:val="32"/>
          <w:szCs w:val="32"/>
        </w:rPr>
        <w:t>个。</w:t>
      </w:r>
    </w:p>
    <w:p w:rsidR="00F52744" w:rsidRPr="00E7206A" w:rsidRDefault="00F344D8" w:rsidP="00F344D8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全县列统房地产开发项目</w:t>
      </w:r>
      <w:r>
        <w:rPr>
          <w:rFonts w:ascii="仿宋" w:eastAsia="仿宋" w:hAnsi="仿宋" w:hint="eastAsia"/>
          <w:sz w:val="32"/>
          <w:szCs w:val="32"/>
        </w:rPr>
        <w:t>83</w:t>
      </w:r>
      <w:r w:rsidRPr="00E7206A">
        <w:rPr>
          <w:rFonts w:ascii="仿宋" w:eastAsia="仿宋" w:hAnsi="仿宋" w:hint="eastAsia"/>
          <w:sz w:val="32"/>
          <w:szCs w:val="32"/>
        </w:rPr>
        <w:t>个，全年完成投资</w:t>
      </w:r>
      <w:r>
        <w:rPr>
          <w:rFonts w:ascii="仿宋" w:eastAsia="仿宋" w:hAnsi="仿宋" w:hint="eastAsia"/>
          <w:sz w:val="32"/>
          <w:szCs w:val="32"/>
        </w:rPr>
        <w:t>20.98</w:t>
      </w:r>
      <w:r w:rsidRPr="00E7206A">
        <w:rPr>
          <w:rFonts w:ascii="仿宋" w:eastAsia="仿宋" w:hAnsi="仿宋" w:hint="eastAsia"/>
          <w:sz w:val="32"/>
          <w:szCs w:val="32"/>
        </w:rPr>
        <w:t>亿元，比上年下降</w:t>
      </w:r>
      <w:r>
        <w:rPr>
          <w:rFonts w:ascii="仿宋" w:eastAsia="仿宋" w:hAnsi="仿宋" w:hint="eastAsia"/>
          <w:sz w:val="32"/>
          <w:szCs w:val="32"/>
        </w:rPr>
        <w:t>59.3</w:t>
      </w:r>
      <w:r w:rsidRPr="00E7206A">
        <w:rPr>
          <w:rFonts w:ascii="仿宋" w:eastAsia="仿宋" w:hAnsi="仿宋" w:hint="eastAsia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降</w:t>
      </w:r>
      <w:r w:rsidRPr="00E7206A">
        <w:rPr>
          <w:rFonts w:ascii="仿宋" w:eastAsia="仿宋" w:hAnsi="仿宋" w:hint="eastAsia"/>
          <w:sz w:val="32"/>
          <w:szCs w:val="32"/>
        </w:rPr>
        <w:t>幅比上年</w:t>
      </w:r>
      <w:r>
        <w:rPr>
          <w:rFonts w:ascii="仿宋" w:eastAsia="仿宋" w:hAnsi="仿宋" w:hint="eastAsia"/>
          <w:sz w:val="32"/>
          <w:szCs w:val="32"/>
        </w:rPr>
        <w:t>回落47.9</w:t>
      </w:r>
      <w:r w:rsidRPr="00E7206A">
        <w:rPr>
          <w:rFonts w:ascii="仿宋" w:eastAsia="仿宋" w:hAnsi="仿宋" w:hint="eastAsia"/>
          <w:sz w:val="32"/>
          <w:szCs w:val="32"/>
        </w:rPr>
        <w:t>个百分点。从工程用途看，用于住宅建设的投资居多，达</w:t>
      </w:r>
      <w:r>
        <w:rPr>
          <w:rFonts w:ascii="仿宋" w:eastAsia="仿宋" w:hAnsi="仿宋" w:hint="eastAsia"/>
          <w:sz w:val="32"/>
          <w:szCs w:val="32"/>
        </w:rPr>
        <w:t>15.22</w:t>
      </w:r>
      <w:r w:rsidRPr="00E7206A">
        <w:rPr>
          <w:rFonts w:ascii="仿宋" w:eastAsia="仿宋" w:hAnsi="仿宋" w:hint="eastAsia"/>
          <w:sz w:val="32"/>
          <w:szCs w:val="32"/>
        </w:rPr>
        <w:t>亿元，占全县房地产开发投资的</w:t>
      </w:r>
      <w:r>
        <w:rPr>
          <w:rFonts w:ascii="仿宋" w:eastAsia="仿宋" w:hAnsi="仿宋" w:hint="eastAsia"/>
          <w:sz w:val="32"/>
          <w:szCs w:val="32"/>
        </w:rPr>
        <w:t>72.6</w:t>
      </w:r>
      <w:r w:rsidRPr="00E7206A">
        <w:rPr>
          <w:rFonts w:ascii="仿宋" w:eastAsia="仿宋" w:hAnsi="仿宋" w:hint="eastAsia"/>
          <w:sz w:val="32"/>
          <w:szCs w:val="32"/>
        </w:rPr>
        <w:t>%。全年施工房屋面积达</w:t>
      </w:r>
      <w:r>
        <w:rPr>
          <w:rFonts w:ascii="仿宋" w:eastAsia="仿宋" w:hAnsi="仿宋" w:hint="eastAsia"/>
          <w:sz w:val="32"/>
          <w:szCs w:val="32"/>
        </w:rPr>
        <w:t>472.0</w:t>
      </w:r>
      <w:r w:rsidRPr="00E7206A">
        <w:rPr>
          <w:rFonts w:ascii="仿宋" w:eastAsia="仿宋" w:hAnsi="仿宋" w:hint="eastAsia"/>
          <w:sz w:val="32"/>
          <w:szCs w:val="32"/>
        </w:rPr>
        <w:t>万平方米，比上年增长</w:t>
      </w:r>
      <w:r>
        <w:rPr>
          <w:rFonts w:ascii="仿宋" w:eastAsia="仿宋" w:hAnsi="仿宋" w:hint="eastAsia"/>
          <w:sz w:val="32"/>
          <w:szCs w:val="32"/>
        </w:rPr>
        <w:t>1.2</w:t>
      </w:r>
      <w:r w:rsidRPr="00E7206A">
        <w:rPr>
          <w:rFonts w:ascii="仿宋" w:eastAsia="仿宋" w:hAnsi="仿宋" w:hint="eastAsia"/>
          <w:sz w:val="32"/>
          <w:szCs w:val="32"/>
        </w:rPr>
        <w:t>%，其中新开工面积</w:t>
      </w:r>
      <w:r>
        <w:rPr>
          <w:rFonts w:ascii="仿宋" w:eastAsia="仿宋" w:hAnsi="仿宋" w:hint="eastAsia"/>
          <w:sz w:val="32"/>
          <w:szCs w:val="32"/>
        </w:rPr>
        <w:t>55.02</w:t>
      </w:r>
      <w:r w:rsidRPr="00E7206A">
        <w:rPr>
          <w:rFonts w:ascii="仿宋" w:eastAsia="仿宋" w:hAnsi="仿宋" w:hint="eastAsia"/>
          <w:sz w:val="32"/>
          <w:szCs w:val="32"/>
        </w:rPr>
        <w:t>万平方米，下降</w:t>
      </w:r>
      <w:r>
        <w:rPr>
          <w:rFonts w:ascii="仿宋" w:eastAsia="仿宋" w:hAnsi="仿宋" w:hint="eastAsia"/>
          <w:sz w:val="32"/>
          <w:szCs w:val="32"/>
        </w:rPr>
        <w:t>43.5</w:t>
      </w:r>
      <w:r w:rsidRPr="00E7206A">
        <w:rPr>
          <w:rFonts w:ascii="仿宋" w:eastAsia="仿宋" w:hAnsi="仿宋" w:hint="eastAsia"/>
          <w:sz w:val="32"/>
          <w:szCs w:val="32"/>
        </w:rPr>
        <w:t>%。商品房竣工面积</w:t>
      </w:r>
      <w:r>
        <w:rPr>
          <w:rFonts w:ascii="仿宋" w:eastAsia="仿宋" w:hAnsi="仿宋" w:hint="eastAsia"/>
          <w:sz w:val="32"/>
          <w:szCs w:val="32"/>
        </w:rPr>
        <w:t>1.56</w:t>
      </w:r>
      <w:r w:rsidRPr="00E7206A">
        <w:rPr>
          <w:rFonts w:ascii="仿宋" w:eastAsia="仿宋" w:hAnsi="仿宋" w:hint="eastAsia"/>
          <w:sz w:val="32"/>
          <w:szCs w:val="32"/>
        </w:rPr>
        <w:t>万平方米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7206A">
        <w:rPr>
          <w:rFonts w:ascii="仿宋" w:eastAsia="仿宋" w:hAnsi="仿宋" w:hint="eastAsia"/>
          <w:sz w:val="32"/>
          <w:szCs w:val="32"/>
        </w:rPr>
        <w:t>本年商品房销售面积</w:t>
      </w:r>
      <w:r>
        <w:rPr>
          <w:rFonts w:ascii="仿宋" w:eastAsia="仿宋" w:hAnsi="仿宋" w:hint="eastAsia"/>
          <w:sz w:val="32"/>
          <w:szCs w:val="32"/>
        </w:rPr>
        <w:t>62.50</w:t>
      </w:r>
      <w:r w:rsidRPr="00E7206A">
        <w:rPr>
          <w:rFonts w:ascii="仿宋" w:eastAsia="仿宋" w:hAnsi="仿宋" w:hint="eastAsia"/>
          <w:sz w:val="32"/>
          <w:szCs w:val="32"/>
        </w:rPr>
        <w:t>万平方米，</w:t>
      </w:r>
      <w:r>
        <w:rPr>
          <w:rFonts w:ascii="仿宋" w:eastAsia="仿宋" w:hAnsi="仿宋" w:hint="eastAsia"/>
          <w:sz w:val="32"/>
          <w:szCs w:val="32"/>
        </w:rPr>
        <w:t>其中</w:t>
      </w:r>
      <w:r w:rsidRPr="00E7206A">
        <w:rPr>
          <w:rFonts w:ascii="仿宋" w:eastAsia="仿宋" w:hAnsi="仿宋" w:hint="eastAsia"/>
          <w:sz w:val="32"/>
          <w:szCs w:val="32"/>
        </w:rPr>
        <w:t>商品住宅面积占</w:t>
      </w:r>
      <w:r>
        <w:rPr>
          <w:rFonts w:ascii="仿宋" w:eastAsia="仿宋" w:hAnsi="仿宋" w:hint="eastAsia"/>
          <w:sz w:val="32"/>
          <w:szCs w:val="32"/>
        </w:rPr>
        <w:t>90.3</w:t>
      </w:r>
      <w:r w:rsidRPr="00E7206A">
        <w:rPr>
          <w:rFonts w:ascii="仿宋" w:eastAsia="仿宋" w:hAnsi="仿宋" w:hint="eastAsia"/>
          <w:sz w:val="32"/>
          <w:szCs w:val="32"/>
        </w:rPr>
        <w:t>%</w:t>
      </w:r>
      <w:r w:rsidR="005811AB"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E7206A" w:rsidRDefault="00F52744" w:rsidP="00F344D8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五、对外经济</w:t>
      </w:r>
    </w:p>
    <w:p w:rsidR="00F52744" w:rsidRPr="00E7206A" w:rsidRDefault="00F52744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全县实际利用外资</w:t>
      </w:r>
      <w:r w:rsidR="0063181B">
        <w:rPr>
          <w:rFonts w:ascii="仿宋" w:eastAsia="仿宋" w:hAnsi="仿宋" w:hint="eastAsia"/>
          <w:sz w:val="32"/>
          <w:szCs w:val="32"/>
        </w:rPr>
        <w:t>522</w:t>
      </w:r>
      <w:r w:rsidR="00AC650A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万美元，比上年</w:t>
      </w:r>
      <w:r w:rsidR="00AC650A" w:rsidRPr="00E7206A">
        <w:rPr>
          <w:rFonts w:ascii="仿宋" w:eastAsia="仿宋" w:hAnsi="仿宋" w:hint="eastAsia"/>
          <w:sz w:val="32"/>
          <w:szCs w:val="32"/>
        </w:rPr>
        <w:t>增长</w:t>
      </w:r>
      <w:r w:rsidR="0063181B">
        <w:rPr>
          <w:rFonts w:ascii="仿宋" w:eastAsia="仿宋" w:hAnsi="仿宋" w:hint="eastAsia"/>
          <w:sz w:val="32"/>
          <w:szCs w:val="32"/>
        </w:rPr>
        <w:t>8</w:t>
      </w:r>
      <w:r w:rsidR="00AC650A" w:rsidRPr="00E7206A">
        <w:rPr>
          <w:rFonts w:ascii="仿宋" w:eastAsia="仿宋" w:hAnsi="仿宋" w:hint="eastAsia"/>
          <w:sz w:val="32"/>
          <w:szCs w:val="32"/>
        </w:rPr>
        <w:t>6.</w:t>
      </w:r>
      <w:r w:rsidR="0063181B">
        <w:rPr>
          <w:rFonts w:ascii="仿宋" w:eastAsia="仿宋" w:hAnsi="仿宋" w:hint="eastAsia"/>
          <w:sz w:val="32"/>
          <w:szCs w:val="32"/>
        </w:rPr>
        <w:t>9</w:t>
      </w:r>
      <w:r w:rsidR="00AC650A" w:rsidRPr="00E7206A">
        <w:rPr>
          <w:rFonts w:ascii="仿宋" w:eastAsia="仿宋" w:hAnsi="仿宋" w:hint="eastAsia"/>
          <w:sz w:val="32"/>
          <w:szCs w:val="32"/>
        </w:rPr>
        <w:t>%</w:t>
      </w:r>
      <w:r w:rsidR="004228B5"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drawing>
          <wp:inline distT="0" distB="0" distL="0" distR="0">
            <wp:extent cx="5274310" cy="2484542"/>
            <wp:effectExtent l="0" t="0" r="0" b="0"/>
            <wp:docPr id="9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2744" w:rsidRPr="00E7206A" w:rsidRDefault="00505F74" w:rsidP="00034A48">
      <w:pPr>
        <w:spacing w:line="5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六、国内</w:t>
      </w:r>
      <w:r w:rsidR="00F52744" w:rsidRPr="00E7206A">
        <w:rPr>
          <w:rFonts w:asciiTheme="majorEastAsia" w:eastAsiaTheme="majorEastAsia" w:hAnsiTheme="majorEastAsia" w:hint="eastAsia"/>
          <w:b/>
          <w:sz w:val="32"/>
          <w:szCs w:val="32"/>
        </w:rPr>
        <w:t>贸易</w:t>
      </w:r>
    </w:p>
    <w:p w:rsidR="00505F74" w:rsidRPr="00E7206A" w:rsidRDefault="00F344D8" w:rsidP="00505F7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全社会消费品零售总额实现</w:t>
      </w:r>
      <w:r>
        <w:rPr>
          <w:rFonts w:ascii="仿宋" w:eastAsia="仿宋" w:hAnsi="仿宋" w:hint="eastAsia"/>
          <w:sz w:val="32"/>
          <w:szCs w:val="32"/>
        </w:rPr>
        <w:t>69.3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>
        <w:rPr>
          <w:rFonts w:ascii="仿宋" w:eastAsia="仿宋" w:hAnsi="仿宋" w:hint="eastAsia"/>
          <w:sz w:val="32"/>
          <w:szCs w:val="32"/>
        </w:rPr>
        <w:t>0.2</w:t>
      </w:r>
      <w:r w:rsidRPr="00E7206A">
        <w:rPr>
          <w:rFonts w:ascii="仿宋" w:eastAsia="仿宋" w:hAnsi="仿宋" w:hint="eastAsia"/>
          <w:sz w:val="32"/>
          <w:szCs w:val="32"/>
        </w:rPr>
        <w:t>%。其中，限额以上企业（单位）消费品零售额</w:t>
      </w:r>
      <w:r>
        <w:rPr>
          <w:rFonts w:ascii="仿宋" w:eastAsia="仿宋" w:hAnsi="仿宋" w:hint="eastAsia"/>
          <w:sz w:val="32"/>
          <w:szCs w:val="32"/>
        </w:rPr>
        <w:t>4.3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lastRenderedPageBreak/>
        <w:t>9.1</w:t>
      </w:r>
      <w:r w:rsidRPr="00E7206A">
        <w:rPr>
          <w:rFonts w:ascii="仿宋" w:eastAsia="仿宋" w:hAnsi="仿宋" w:hint="eastAsia"/>
          <w:sz w:val="32"/>
          <w:szCs w:val="32"/>
        </w:rPr>
        <w:t>%,占全社会消费品零售总额的</w:t>
      </w:r>
      <w:r>
        <w:rPr>
          <w:rFonts w:ascii="仿宋" w:eastAsia="仿宋" w:hAnsi="仿宋" w:hint="eastAsia"/>
          <w:sz w:val="32"/>
          <w:szCs w:val="32"/>
        </w:rPr>
        <w:t>6.2</w:t>
      </w:r>
      <w:r w:rsidRPr="00E7206A">
        <w:rPr>
          <w:rFonts w:ascii="仿宋" w:eastAsia="仿宋" w:hAnsi="仿宋" w:hint="eastAsia"/>
          <w:sz w:val="32"/>
          <w:szCs w:val="32"/>
        </w:rPr>
        <w:t>%；限额以下企业（单位）消费品零售额</w:t>
      </w:r>
      <w:r>
        <w:rPr>
          <w:rFonts w:ascii="仿宋" w:eastAsia="仿宋" w:hAnsi="仿宋" w:hint="eastAsia"/>
          <w:sz w:val="32"/>
          <w:szCs w:val="32"/>
        </w:rPr>
        <w:t>65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2.3</w:t>
      </w:r>
      <w:r w:rsidRPr="00E7206A">
        <w:rPr>
          <w:rFonts w:ascii="仿宋" w:eastAsia="仿宋" w:hAnsi="仿宋" w:hint="eastAsia"/>
          <w:sz w:val="32"/>
          <w:szCs w:val="32"/>
        </w:rPr>
        <w:t>%，占全社会消费品零售总额的</w:t>
      </w:r>
      <w:r>
        <w:rPr>
          <w:rFonts w:ascii="仿宋" w:eastAsia="仿宋" w:hAnsi="仿宋" w:hint="eastAsia"/>
          <w:sz w:val="32"/>
          <w:szCs w:val="32"/>
        </w:rPr>
        <w:t>93.8</w:t>
      </w:r>
      <w:r w:rsidRPr="00E7206A">
        <w:rPr>
          <w:rFonts w:ascii="仿宋" w:eastAsia="仿宋" w:hAnsi="仿宋" w:hint="eastAsia"/>
          <w:sz w:val="32"/>
          <w:szCs w:val="32"/>
        </w:rPr>
        <w:t>%。按经营地统计，城镇社会消费品零售额完成</w:t>
      </w:r>
      <w:r>
        <w:rPr>
          <w:rFonts w:ascii="仿宋" w:eastAsia="仿宋" w:hAnsi="仿宋" w:hint="eastAsia"/>
          <w:sz w:val="32"/>
          <w:szCs w:val="32"/>
        </w:rPr>
        <w:t>42.4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26.8</w:t>
      </w:r>
      <w:r w:rsidRPr="00E7206A">
        <w:rPr>
          <w:rFonts w:ascii="仿宋" w:eastAsia="仿宋" w:hAnsi="仿宋" w:hint="eastAsia"/>
          <w:sz w:val="32"/>
          <w:szCs w:val="32"/>
        </w:rPr>
        <w:t>%，占全社会消费品零售总额的</w:t>
      </w:r>
      <w:r>
        <w:rPr>
          <w:rFonts w:ascii="仿宋" w:eastAsia="仿宋" w:hAnsi="仿宋" w:hint="eastAsia"/>
          <w:sz w:val="32"/>
          <w:szCs w:val="32"/>
        </w:rPr>
        <w:t>61.1</w:t>
      </w:r>
      <w:r w:rsidRPr="00E7206A">
        <w:rPr>
          <w:rFonts w:ascii="仿宋" w:eastAsia="仿宋" w:hAnsi="仿宋" w:hint="eastAsia"/>
          <w:sz w:val="32"/>
          <w:szCs w:val="32"/>
        </w:rPr>
        <w:t>%；乡村社会消费品零售额完成</w:t>
      </w:r>
      <w:r>
        <w:rPr>
          <w:rFonts w:ascii="仿宋" w:eastAsia="仿宋" w:hAnsi="仿宋" w:hint="eastAsia"/>
          <w:sz w:val="32"/>
          <w:szCs w:val="32"/>
        </w:rPr>
        <w:t>27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下降24.6</w:t>
      </w:r>
      <w:r w:rsidRPr="00E7206A">
        <w:rPr>
          <w:rFonts w:ascii="仿宋" w:eastAsia="仿宋" w:hAnsi="仿宋" w:hint="eastAsia"/>
          <w:sz w:val="32"/>
          <w:szCs w:val="32"/>
        </w:rPr>
        <w:t>%，占全社会消费品零售总额的</w:t>
      </w:r>
      <w:r>
        <w:rPr>
          <w:rFonts w:ascii="仿宋" w:eastAsia="仿宋" w:hAnsi="仿宋" w:hint="eastAsia"/>
          <w:sz w:val="32"/>
          <w:szCs w:val="32"/>
        </w:rPr>
        <w:t>38.9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94EE5" w:rsidP="00F52744">
      <w:pPr>
        <w:rPr>
          <w:sz w:val="28"/>
          <w:szCs w:val="28"/>
        </w:rPr>
      </w:pPr>
      <w:r w:rsidRPr="00D94EE5">
        <w:rPr>
          <w:noProof/>
          <w:sz w:val="28"/>
          <w:szCs w:val="28"/>
        </w:rPr>
        <w:drawing>
          <wp:inline distT="0" distB="0" distL="0" distR="0">
            <wp:extent cx="5274310" cy="3026624"/>
            <wp:effectExtent l="0" t="0" r="0" b="0"/>
            <wp:docPr id="11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5F74" w:rsidRPr="00E7206A" w:rsidRDefault="00F344D8" w:rsidP="00505F7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在限额以上批发和零售企业商品零售额中，增幅较快的有：</w:t>
      </w:r>
      <w:r>
        <w:rPr>
          <w:rFonts w:ascii="仿宋" w:eastAsia="仿宋" w:hAnsi="仿宋" w:hint="eastAsia"/>
          <w:sz w:val="32"/>
          <w:szCs w:val="32"/>
        </w:rPr>
        <w:t>新能源汽车</w:t>
      </w:r>
      <w:r w:rsidRPr="00E7206A">
        <w:rPr>
          <w:rFonts w:ascii="仿宋" w:eastAsia="仿宋" w:hAnsi="仿宋" w:hint="eastAsia"/>
          <w:sz w:val="32"/>
          <w:szCs w:val="32"/>
        </w:rPr>
        <w:t>类增长</w:t>
      </w:r>
      <w:r>
        <w:rPr>
          <w:rFonts w:ascii="仿宋" w:eastAsia="仿宋" w:hAnsi="仿宋" w:hint="eastAsia"/>
          <w:sz w:val="32"/>
          <w:szCs w:val="32"/>
        </w:rPr>
        <w:t>308.7</w:t>
      </w:r>
      <w:r w:rsidRPr="00E7206A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 w:hint="eastAsia"/>
          <w:sz w:val="32"/>
          <w:szCs w:val="32"/>
        </w:rPr>
        <w:t>金银珠宝</w:t>
      </w:r>
      <w:r w:rsidRPr="00E7206A">
        <w:rPr>
          <w:rFonts w:ascii="仿宋" w:eastAsia="仿宋" w:hAnsi="仿宋" w:hint="eastAsia"/>
          <w:sz w:val="32"/>
          <w:szCs w:val="32"/>
        </w:rPr>
        <w:t>类增长</w:t>
      </w:r>
      <w:r>
        <w:rPr>
          <w:rFonts w:ascii="仿宋" w:eastAsia="仿宋" w:hAnsi="仿宋" w:hint="eastAsia"/>
          <w:sz w:val="32"/>
          <w:szCs w:val="32"/>
        </w:rPr>
        <w:t>38.7</w:t>
      </w:r>
      <w:r w:rsidRPr="00E7206A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 w:hint="eastAsia"/>
          <w:sz w:val="32"/>
          <w:szCs w:val="32"/>
        </w:rPr>
        <w:t>中西药品</w:t>
      </w:r>
      <w:r w:rsidRPr="00E7206A">
        <w:rPr>
          <w:rFonts w:ascii="仿宋" w:eastAsia="仿宋" w:hAnsi="仿宋" w:hint="eastAsia"/>
          <w:sz w:val="32"/>
          <w:szCs w:val="32"/>
        </w:rPr>
        <w:t>类增长</w:t>
      </w:r>
      <w:r>
        <w:rPr>
          <w:rFonts w:ascii="仿宋" w:eastAsia="仿宋" w:hAnsi="仿宋" w:hint="eastAsia"/>
          <w:sz w:val="32"/>
          <w:szCs w:val="32"/>
        </w:rPr>
        <w:t>15.3</w:t>
      </w:r>
      <w:r w:rsidRPr="00E7206A">
        <w:rPr>
          <w:rFonts w:ascii="仿宋" w:eastAsia="仿宋" w:hAnsi="仿宋" w:hint="eastAsia"/>
          <w:sz w:val="32"/>
          <w:szCs w:val="32"/>
        </w:rPr>
        <w:t>%。下降较多的商品有：</w:t>
      </w:r>
      <w:r>
        <w:rPr>
          <w:rFonts w:ascii="仿宋" w:eastAsia="仿宋" w:hAnsi="仿宋" w:hint="eastAsia"/>
          <w:sz w:val="32"/>
          <w:szCs w:val="32"/>
        </w:rPr>
        <w:t>服装</w:t>
      </w:r>
      <w:r w:rsidRPr="00E7206A">
        <w:rPr>
          <w:rFonts w:ascii="仿宋" w:eastAsia="仿宋" w:hAnsi="仿宋" w:hint="eastAsia"/>
          <w:sz w:val="32"/>
          <w:szCs w:val="32"/>
        </w:rPr>
        <w:t>类下降24.3%；</w:t>
      </w:r>
      <w:r>
        <w:rPr>
          <w:rFonts w:ascii="仿宋" w:eastAsia="仿宋" w:hAnsi="仿宋" w:hint="eastAsia"/>
          <w:sz w:val="32"/>
          <w:szCs w:val="32"/>
        </w:rPr>
        <w:t>化妆品</w:t>
      </w:r>
      <w:r w:rsidRPr="00E7206A">
        <w:rPr>
          <w:rFonts w:ascii="仿宋" w:eastAsia="仿宋" w:hAnsi="仿宋" w:hint="eastAsia"/>
          <w:sz w:val="32"/>
          <w:szCs w:val="32"/>
        </w:rPr>
        <w:t>宝类下降</w:t>
      </w:r>
      <w:r>
        <w:rPr>
          <w:rFonts w:ascii="仿宋" w:eastAsia="仿宋" w:hAnsi="仿宋" w:hint="eastAsia"/>
          <w:sz w:val="32"/>
          <w:szCs w:val="32"/>
        </w:rPr>
        <w:t>26.1</w:t>
      </w:r>
      <w:r w:rsidRPr="00E7206A">
        <w:rPr>
          <w:rFonts w:ascii="仿宋" w:eastAsia="仿宋" w:hAnsi="仿宋" w:hint="eastAsia"/>
          <w:sz w:val="32"/>
          <w:szCs w:val="32"/>
        </w:rPr>
        <w:t>%；</w:t>
      </w:r>
      <w:r>
        <w:rPr>
          <w:rFonts w:ascii="仿宋" w:eastAsia="仿宋" w:hAnsi="仿宋" w:hint="eastAsia"/>
          <w:sz w:val="32"/>
          <w:szCs w:val="32"/>
        </w:rPr>
        <w:t>家具</w:t>
      </w:r>
      <w:r w:rsidRPr="00E7206A">
        <w:rPr>
          <w:rFonts w:ascii="仿宋" w:eastAsia="仿宋" w:hAnsi="仿宋" w:hint="eastAsia"/>
          <w:sz w:val="32"/>
          <w:szCs w:val="32"/>
        </w:rPr>
        <w:t>类下降2</w:t>
      </w:r>
      <w:r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.6%</w:t>
      </w:r>
      <w:r w:rsidR="00505F74"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E7206A" w:rsidRDefault="00F52744" w:rsidP="00627266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七、财政和金融</w:t>
      </w:r>
    </w:p>
    <w:p w:rsidR="00F52744" w:rsidRPr="00E7206A" w:rsidRDefault="00F52744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全部财政收入完成</w:t>
      </w:r>
      <w:r w:rsidR="00B47778">
        <w:rPr>
          <w:rFonts w:ascii="仿宋" w:eastAsia="仿宋" w:hAnsi="仿宋" w:hint="eastAsia"/>
          <w:sz w:val="32"/>
          <w:szCs w:val="32"/>
        </w:rPr>
        <w:t>28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12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D94EE5" w:rsidRPr="00E7206A">
        <w:rPr>
          <w:rFonts w:ascii="仿宋" w:eastAsia="仿宋" w:hAnsi="仿宋" w:hint="eastAsia"/>
          <w:sz w:val="32"/>
          <w:szCs w:val="32"/>
        </w:rPr>
        <w:t>下降</w:t>
      </w:r>
      <w:r w:rsidR="00B47778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%；其中，税</w:t>
      </w:r>
      <w:r w:rsidR="00906110" w:rsidRPr="00E7206A">
        <w:rPr>
          <w:rFonts w:ascii="仿宋" w:eastAsia="仿宋" w:hAnsi="仿宋" w:hint="eastAsia"/>
          <w:sz w:val="32"/>
          <w:szCs w:val="32"/>
        </w:rPr>
        <w:t>务部门</w:t>
      </w:r>
      <w:r w:rsidRPr="00E7206A">
        <w:rPr>
          <w:rFonts w:ascii="仿宋" w:eastAsia="仿宋" w:hAnsi="仿宋" w:hint="eastAsia"/>
          <w:sz w:val="32"/>
          <w:szCs w:val="32"/>
        </w:rPr>
        <w:t>完成</w:t>
      </w:r>
      <w:r w:rsidR="00B47778">
        <w:rPr>
          <w:rFonts w:ascii="仿宋" w:eastAsia="仿宋" w:hAnsi="仿宋" w:hint="eastAsia"/>
          <w:sz w:val="32"/>
          <w:szCs w:val="32"/>
        </w:rPr>
        <w:t>19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16</w:t>
      </w:r>
      <w:r w:rsidRPr="00E7206A">
        <w:rPr>
          <w:rFonts w:ascii="仿宋" w:eastAsia="仿宋" w:hAnsi="仿宋" w:hint="eastAsia"/>
          <w:sz w:val="32"/>
          <w:szCs w:val="32"/>
        </w:rPr>
        <w:t>亿元，县财政完成</w:t>
      </w:r>
      <w:r w:rsidR="00B47778">
        <w:rPr>
          <w:rFonts w:ascii="仿宋" w:eastAsia="仿宋" w:hAnsi="仿宋" w:hint="eastAsia"/>
          <w:sz w:val="32"/>
          <w:szCs w:val="32"/>
        </w:rPr>
        <w:t>8</w:t>
      </w:r>
      <w:r w:rsidR="00C406E3"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9</w:t>
      </w:r>
      <w:r w:rsidR="0047083F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亿元。一般公共预算收入完成1</w:t>
      </w:r>
      <w:r w:rsidR="00B47778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9</w:t>
      </w:r>
      <w:r w:rsidR="00B47778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亿元，同比</w:t>
      </w:r>
      <w:r w:rsidR="00D94EE5" w:rsidRPr="00E7206A">
        <w:rPr>
          <w:rFonts w:ascii="仿宋" w:eastAsia="仿宋" w:hAnsi="仿宋" w:hint="eastAsia"/>
          <w:sz w:val="32"/>
          <w:szCs w:val="32"/>
        </w:rPr>
        <w:t>下降</w:t>
      </w:r>
      <w:r w:rsidR="00B47778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%；其中，税收收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入完成</w:t>
      </w:r>
      <w:r w:rsidR="0047083F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03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47083F" w:rsidRPr="00E7206A">
        <w:rPr>
          <w:rFonts w:ascii="仿宋" w:eastAsia="仿宋" w:hAnsi="仿宋" w:hint="eastAsia"/>
          <w:sz w:val="32"/>
          <w:szCs w:val="32"/>
        </w:rPr>
        <w:t>下降</w:t>
      </w:r>
      <w:r w:rsidR="00B47778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%；非税收入完成</w:t>
      </w:r>
      <w:r w:rsidR="00B4777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9</w:t>
      </w:r>
      <w:r w:rsidR="0047083F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亿</w:t>
      </w:r>
      <w:r w:rsidR="00B47778">
        <w:rPr>
          <w:rFonts w:ascii="仿宋" w:eastAsia="仿宋" w:hAnsi="仿宋" w:hint="eastAsia"/>
          <w:sz w:val="32"/>
          <w:szCs w:val="32"/>
        </w:rPr>
        <w:t>元</w:t>
      </w:r>
      <w:r w:rsidRPr="00E7206A">
        <w:rPr>
          <w:rFonts w:ascii="仿宋" w:eastAsia="仿宋" w:hAnsi="仿宋" w:hint="eastAsia"/>
          <w:sz w:val="32"/>
          <w:szCs w:val="32"/>
        </w:rPr>
        <w:t>，</w:t>
      </w:r>
      <w:r w:rsidR="00B47778">
        <w:rPr>
          <w:rFonts w:ascii="仿宋" w:eastAsia="仿宋" w:hAnsi="仿宋" w:hint="eastAsia"/>
          <w:sz w:val="32"/>
          <w:szCs w:val="32"/>
        </w:rPr>
        <w:t>下降</w:t>
      </w:r>
      <w:r w:rsidR="0047083F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%。全县一般公共预算支出</w:t>
      </w:r>
      <w:r w:rsidR="00B47778">
        <w:rPr>
          <w:rFonts w:ascii="仿宋" w:eastAsia="仿宋" w:hAnsi="仿宋" w:hint="eastAsia"/>
          <w:sz w:val="32"/>
          <w:szCs w:val="32"/>
        </w:rPr>
        <w:t>37</w:t>
      </w:r>
      <w:r w:rsidR="00071267"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6</w:t>
      </w:r>
      <w:r w:rsidR="00071267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071267" w:rsidRPr="00E7206A">
        <w:rPr>
          <w:rFonts w:ascii="仿宋" w:eastAsia="仿宋" w:hAnsi="仿宋" w:hint="eastAsia"/>
          <w:sz w:val="32"/>
          <w:szCs w:val="32"/>
        </w:rPr>
        <w:t>下降</w:t>
      </w:r>
      <w:r w:rsidR="00B4777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47778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94EE5" w:rsidP="00F52744">
      <w:pPr>
        <w:rPr>
          <w:rFonts w:ascii="仿宋" w:eastAsia="仿宋" w:hAnsi="仿宋"/>
          <w:sz w:val="32"/>
          <w:szCs w:val="32"/>
        </w:rPr>
      </w:pPr>
      <w:r w:rsidRPr="00D94EE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358099"/>
            <wp:effectExtent l="0" t="0" r="0" b="0"/>
            <wp:docPr id="12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年末全部金融机构各项存款余额</w:t>
      </w:r>
      <w:r w:rsidR="00A22D0B">
        <w:rPr>
          <w:rFonts w:ascii="仿宋" w:eastAsia="仿宋" w:hAnsi="仿宋" w:hint="eastAsia"/>
          <w:sz w:val="32"/>
          <w:szCs w:val="32"/>
        </w:rPr>
        <w:t>355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22D0B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亿元，比年初</w:t>
      </w:r>
      <w:r w:rsidR="005722BA" w:rsidRPr="00E7206A">
        <w:rPr>
          <w:rFonts w:ascii="仿宋" w:eastAsia="仿宋" w:hAnsi="仿宋" w:hint="eastAsia"/>
          <w:sz w:val="32"/>
          <w:szCs w:val="32"/>
        </w:rPr>
        <w:t>增加</w:t>
      </w:r>
      <w:r w:rsidR="00A22D0B">
        <w:rPr>
          <w:rFonts w:ascii="仿宋" w:eastAsia="仿宋" w:hAnsi="仿宋" w:hint="eastAsia"/>
          <w:sz w:val="32"/>
          <w:szCs w:val="32"/>
        </w:rPr>
        <w:t>62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5</w:t>
      </w:r>
      <w:r w:rsidR="00A22D0B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亿元。其中，住户存款余额</w:t>
      </w:r>
      <w:r w:rsidR="00A22D0B">
        <w:rPr>
          <w:rFonts w:ascii="仿宋" w:eastAsia="仿宋" w:hAnsi="仿宋" w:hint="eastAsia"/>
          <w:sz w:val="32"/>
          <w:szCs w:val="32"/>
        </w:rPr>
        <w:t>23</w:t>
      </w:r>
      <w:r w:rsidR="005722BA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22D0B">
        <w:rPr>
          <w:rFonts w:ascii="仿宋" w:eastAsia="仿宋" w:hAnsi="仿宋" w:hint="eastAsia"/>
          <w:sz w:val="32"/>
          <w:szCs w:val="32"/>
        </w:rPr>
        <w:t>09</w:t>
      </w:r>
      <w:r w:rsidRPr="00E7206A">
        <w:rPr>
          <w:rFonts w:ascii="仿宋" w:eastAsia="仿宋" w:hAnsi="仿宋" w:hint="eastAsia"/>
          <w:sz w:val="32"/>
          <w:szCs w:val="32"/>
        </w:rPr>
        <w:t>亿元，比年初增加</w:t>
      </w:r>
      <w:r w:rsidR="00A22D0B">
        <w:rPr>
          <w:rFonts w:ascii="仿宋" w:eastAsia="仿宋" w:hAnsi="仿宋" w:hint="eastAsia"/>
          <w:sz w:val="32"/>
          <w:szCs w:val="32"/>
        </w:rPr>
        <w:t>59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22D0B">
        <w:rPr>
          <w:rFonts w:ascii="仿宋" w:eastAsia="仿宋" w:hAnsi="仿宋" w:hint="eastAsia"/>
          <w:sz w:val="32"/>
          <w:szCs w:val="32"/>
        </w:rPr>
        <w:t>93</w:t>
      </w:r>
      <w:r w:rsidRPr="00E7206A">
        <w:rPr>
          <w:rFonts w:ascii="仿宋" w:eastAsia="仿宋" w:hAnsi="仿宋" w:hint="eastAsia"/>
          <w:sz w:val="32"/>
          <w:szCs w:val="32"/>
        </w:rPr>
        <w:t>亿元。各项贷款余额</w:t>
      </w:r>
      <w:r w:rsidR="005722BA" w:rsidRPr="00E7206A">
        <w:rPr>
          <w:rFonts w:ascii="仿宋" w:eastAsia="仿宋" w:hAnsi="仿宋" w:hint="eastAsia"/>
          <w:sz w:val="32"/>
          <w:szCs w:val="32"/>
        </w:rPr>
        <w:t>3</w:t>
      </w:r>
      <w:r w:rsidR="00A22D0B">
        <w:rPr>
          <w:rFonts w:ascii="仿宋" w:eastAsia="仿宋" w:hAnsi="仿宋" w:hint="eastAsia"/>
          <w:sz w:val="32"/>
          <w:szCs w:val="32"/>
        </w:rPr>
        <w:t>55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22D0B">
        <w:rPr>
          <w:rFonts w:ascii="仿宋" w:eastAsia="仿宋" w:hAnsi="仿宋" w:hint="eastAsia"/>
          <w:sz w:val="32"/>
          <w:szCs w:val="32"/>
        </w:rPr>
        <w:t>15</w:t>
      </w:r>
      <w:r w:rsidRPr="00E7206A">
        <w:rPr>
          <w:rFonts w:ascii="仿宋" w:eastAsia="仿宋" w:hAnsi="仿宋" w:hint="eastAsia"/>
          <w:sz w:val="32"/>
          <w:szCs w:val="32"/>
        </w:rPr>
        <w:t>亿元，比年初增加</w:t>
      </w:r>
      <w:r w:rsidR="00A22D0B">
        <w:rPr>
          <w:rFonts w:ascii="仿宋" w:eastAsia="仿宋" w:hAnsi="仿宋" w:hint="eastAsia"/>
          <w:sz w:val="32"/>
          <w:szCs w:val="32"/>
        </w:rPr>
        <w:t>44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="00A22D0B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亿元。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八、交通、邮电和旅游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县域内公路通车里程</w:t>
      </w:r>
      <w:r w:rsidR="00E80C28">
        <w:rPr>
          <w:rFonts w:ascii="仿宋" w:eastAsia="仿宋" w:hAnsi="仿宋" w:hint="eastAsia"/>
          <w:sz w:val="32"/>
          <w:szCs w:val="32"/>
        </w:rPr>
        <w:t>1194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80C28">
        <w:rPr>
          <w:rFonts w:ascii="仿宋" w:eastAsia="仿宋" w:hAnsi="仿宋" w:hint="eastAsia"/>
          <w:sz w:val="32"/>
          <w:szCs w:val="32"/>
        </w:rPr>
        <w:t>85</w:t>
      </w:r>
      <w:r w:rsidRPr="00E7206A">
        <w:rPr>
          <w:rFonts w:ascii="仿宋" w:eastAsia="仿宋" w:hAnsi="仿宋" w:hint="eastAsia"/>
          <w:sz w:val="32"/>
          <w:szCs w:val="32"/>
        </w:rPr>
        <w:t>公里。其中：高速公路</w:t>
      </w:r>
      <w:r w:rsidR="0094168B">
        <w:rPr>
          <w:rFonts w:ascii="仿宋" w:eastAsia="仿宋" w:hAnsi="仿宋" w:hint="eastAsia"/>
          <w:sz w:val="32"/>
          <w:szCs w:val="32"/>
        </w:rPr>
        <w:t>4</w:t>
      </w:r>
      <w:r w:rsidR="000D15AF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D15AF">
        <w:rPr>
          <w:rFonts w:ascii="仿宋" w:eastAsia="仿宋" w:hAnsi="仿宋" w:hint="eastAsia"/>
          <w:sz w:val="32"/>
          <w:szCs w:val="32"/>
        </w:rPr>
        <w:t>77</w:t>
      </w:r>
      <w:r w:rsidRPr="00E7206A">
        <w:rPr>
          <w:rFonts w:ascii="仿宋" w:eastAsia="仿宋" w:hAnsi="仿宋" w:hint="eastAsia"/>
          <w:sz w:val="32"/>
          <w:szCs w:val="32"/>
        </w:rPr>
        <w:t>公里，一级路38.75公里，二级路1</w:t>
      </w:r>
      <w:r w:rsidR="00463DAB">
        <w:rPr>
          <w:rFonts w:ascii="仿宋" w:eastAsia="仿宋" w:hAnsi="仿宋" w:hint="eastAsia"/>
          <w:sz w:val="32"/>
          <w:szCs w:val="32"/>
        </w:rPr>
        <w:t>18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63DAB">
        <w:rPr>
          <w:rFonts w:ascii="仿宋" w:eastAsia="仿宋" w:hAnsi="仿宋" w:hint="eastAsia"/>
          <w:sz w:val="32"/>
          <w:szCs w:val="32"/>
        </w:rPr>
        <w:t>16</w:t>
      </w:r>
      <w:r w:rsidRPr="00E7206A">
        <w:rPr>
          <w:rFonts w:ascii="仿宋" w:eastAsia="仿宋" w:hAnsi="仿宋" w:hint="eastAsia"/>
          <w:sz w:val="32"/>
          <w:szCs w:val="32"/>
        </w:rPr>
        <w:t>公里，三级路1</w:t>
      </w:r>
      <w:r w:rsidR="0094168B">
        <w:rPr>
          <w:rFonts w:ascii="仿宋" w:eastAsia="仿宋" w:hAnsi="仿宋" w:hint="eastAsia"/>
          <w:sz w:val="32"/>
          <w:szCs w:val="32"/>
        </w:rPr>
        <w:t>88</w:t>
      </w:r>
      <w:r w:rsidRPr="00E7206A">
        <w:rPr>
          <w:rFonts w:ascii="仿宋" w:eastAsia="仿宋" w:hAnsi="仿宋" w:hint="eastAsia"/>
          <w:sz w:val="32"/>
          <w:szCs w:val="32"/>
        </w:rPr>
        <w:t>.5</w:t>
      </w:r>
      <w:r w:rsidR="0094168B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公里，四级路7</w:t>
      </w:r>
      <w:r w:rsidR="0094168B">
        <w:rPr>
          <w:rFonts w:ascii="仿宋" w:eastAsia="仿宋" w:hAnsi="仿宋" w:hint="eastAsia"/>
          <w:sz w:val="32"/>
          <w:szCs w:val="32"/>
        </w:rPr>
        <w:t>99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94168B">
        <w:rPr>
          <w:rFonts w:ascii="仿宋" w:eastAsia="仿宋" w:hAnsi="仿宋" w:hint="eastAsia"/>
          <w:sz w:val="32"/>
          <w:szCs w:val="32"/>
        </w:rPr>
        <w:t>57</w:t>
      </w:r>
      <w:r w:rsidRPr="00E7206A">
        <w:rPr>
          <w:rFonts w:ascii="仿宋" w:eastAsia="仿宋" w:hAnsi="仿宋" w:hint="eastAsia"/>
          <w:sz w:val="32"/>
          <w:szCs w:val="32"/>
        </w:rPr>
        <w:t>公里。全县现有桥梁</w:t>
      </w:r>
      <w:r w:rsidR="0094168B">
        <w:rPr>
          <w:rFonts w:ascii="仿宋" w:eastAsia="仿宋" w:hAnsi="仿宋" w:hint="eastAsia"/>
          <w:sz w:val="32"/>
          <w:szCs w:val="32"/>
        </w:rPr>
        <w:t>191</w:t>
      </w:r>
      <w:r w:rsidRPr="00E7206A">
        <w:rPr>
          <w:rFonts w:ascii="仿宋" w:eastAsia="仿宋" w:hAnsi="仿宋" w:hint="eastAsia"/>
          <w:sz w:val="32"/>
          <w:szCs w:val="32"/>
        </w:rPr>
        <w:t>座2894</w:t>
      </w:r>
      <w:r w:rsidR="0094168B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94168B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7延米。按跨径分，特大桥4座16809.92延米，大桥2</w:t>
      </w:r>
      <w:r w:rsidR="00463DAB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座6</w:t>
      </w:r>
      <w:r w:rsidR="00463DAB">
        <w:rPr>
          <w:rFonts w:ascii="仿宋" w:eastAsia="仿宋" w:hAnsi="仿宋" w:hint="eastAsia"/>
          <w:sz w:val="32"/>
          <w:szCs w:val="32"/>
        </w:rPr>
        <w:t>721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63DAB">
        <w:rPr>
          <w:rFonts w:ascii="仿宋" w:eastAsia="仿宋" w:hAnsi="仿宋" w:hint="eastAsia"/>
          <w:sz w:val="32"/>
          <w:szCs w:val="32"/>
        </w:rPr>
        <w:t>02</w:t>
      </w:r>
      <w:r w:rsidRPr="00E7206A">
        <w:rPr>
          <w:rFonts w:ascii="仿宋" w:eastAsia="仿宋" w:hAnsi="仿宋" w:hint="eastAsia"/>
          <w:sz w:val="32"/>
          <w:szCs w:val="32"/>
        </w:rPr>
        <w:t>延米，中桥5</w:t>
      </w:r>
      <w:r w:rsidR="00463DAB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座3</w:t>
      </w:r>
      <w:r w:rsidR="00463DAB">
        <w:rPr>
          <w:rFonts w:ascii="仿宋" w:eastAsia="仿宋" w:hAnsi="仿宋" w:hint="eastAsia"/>
          <w:sz w:val="32"/>
          <w:szCs w:val="32"/>
        </w:rPr>
        <w:t>272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63DAB">
        <w:rPr>
          <w:rFonts w:ascii="仿宋" w:eastAsia="仿宋" w:hAnsi="仿宋" w:hint="eastAsia"/>
          <w:sz w:val="32"/>
          <w:szCs w:val="32"/>
        </w:rPr>
        <w:t>35</w:t>
      </w:r>
      <w:r w:rsidRPr="00E7206A">
        <w:rPr>
          <w:rFonts w:ascii="仿宋" w:eastAsia="仿宋" w:hAnsi="仿宋" w:hint="eastAsia"/>
          <w:sz w:val="32"/>
          <w:szCs w:val="32"/>
        </w:rPr>
        <w:t>延米，小桥1</w:t>
      </w:r>
      <w:r w:rsidR="00463DAB">
        <w:rPr>
          <w:rFonts w:ascii="仿宋" w:eastAsia="仿宋" w:hAnsi="仿宋" w:hint="eastAsia"/>
          <w:sz w:val="32"/>
          <w:szCs w:val="32"/>
        </w:rPr>
        <w:t>07</w:t>
      </w:r>
      <w:r w:rsidRPr="00E7206A">
        <w:rPr>
          <w:rFonts w:ascii="仿宋" w:eastAsia="仿宋" w:hAnsi="仿宋" w:hint="eastAsia"/>
          <w:sz w:val="32"/>
          <w:szCs w:val="32"/>
        </w:rPr>
        <w:t>座2</w:t>
      </w:r>
      <w:r w:rsidR="00463DAB">
        <w:rPr>
          <w:rFonts w:ascii="仿宋" w:eastAsia="仿宋" w:hAnsi="仿宋" w:hint="eastAsia"/>
          <w:sz w:val="32"/>
          <w:szCs w:val="32"/>
        </w:rPr>
        <w:t>141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63DAB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8延米。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全县邮电业务收入完成</w:t>
      </w:r>
      <w:r w:rsidR="0094168B">
        <w:rPr>
          <w:rFonts w:ascii="仿宋" w:eastAsia="仿宋" w:hAnsi="仿宋" w:hint="eastAsia"/>
          <w:sz w:val="32"/>
          <w:szCs w:val="32"/>
        </w:rPr>
        <w:t>9169</w:t>
      </w:r>
      <w:r w:rsidRPr="00E7206A">
        <w:rPr>
          <w:rFonts w:ascii="仿宋" w:eastAsia="仿宋" w:hAnsi="仿宋" w:hint="eastAsia"/>
          <w:sz w:val="32"/>
          <w:szCs w:val="32"/>
        </w:rPr>
        <w:t>万元，其中：邮政业务收入</w:t>
      </w:r>
      <w:r w:rsidR="0094168B">
        <w:rPr>
          <w:rFonts w:ascii="仿宋" w:eastAsia="仿宋" w:hAnsi="仿宋" w:hint="eastAsia"/>
          <w:sz w:val="32"/>
          <w:szCs w:val="32"/>
        </w:rPr>
        <w:t>20</w:t>
      </w:r>
      <w:r w:rsidR="00FD0515" w:rsidRPr="00E7206A">
        <w:rPr>
          <w:rFonts w:ascii="仿宋" w:eastAsia="仿宋" w:hAnsi="仿宋" w:hint="eastAsia"/>
          <w:sz w:val="32"/>
          <w:szCs w:val="32"/>
        </w:rPr>
        <w:t>6</w:t>
      </w:r>
      <w:r w:rsidR="0094168B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万元。年末固定电话用户1.</w:t>
      </w:r>
      <w:r w:rsidR="00E22B5B">
        <w:rPr>
          <w:rFonts w:ascii="仿宋" w:eastAsia="仿宋" w:hAnsi="仿宋" w:hint="eastAsia"/>
          <w:sz w:val="32"/>
          <w:szCs w:val="32"/>
        </w:rPr>
        <w:t>5</w:t>
      </w:r>
      <w:r w:rsidR="006D4B68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万户，移动电话用户</w:t>
      </w:r>
      <w:r w:rsidR="00073697" w:rsidRPr="00E7206A">
        <w:rPr>
          <w:rFonts w:ascii="仿宋" w:eastAsia="仿宋" w:hAnsi="仿宋" w:hint="eastAsia"/>
          <w:sz w:val="32"/>
          <w:szCs w:val="32"/>
        </w:rPr>
        <w:t>3</w:t>
      </w:r>
      <w:r w:rsidR="00D21B18" w:rsidRPr="00E7206A">
        <w:rPr>
          <w:rFonts w:ascii="仿宋" w:eastAsia="仿宋" w:hAnsi="仿宋" w:hint="eastAsia"/>
          <w:sz w:val="32"/>
          <w:szCs w:val="32"/>
        </w:rPr>
        <w:t>9</w:t>
      </w:r>
      <w:r w:rsidR="00073697" w:rsidRPr="00E7206A">
        <w:rPr>
          <w:rFonts w:ascii="仿宋" w:eastAsia="仿宋" w:hAnsi="仿宋" w:hint="eastAsia"/>
          <w:sz w:val="32"/>
          <w:szCs w:val="32"/>
        </w:rPr>
        <w:t>.</w:t>
      </w:r>
      <w:r w:rsidR="00E22B5B">
        <w:rPr>
          <w:rFonts w:ascii="仿宋" w:eastAsia="仿宋" w:hAnsi="仿宋" w:hint="eastAsia"/>
          <w:sz w:val="32"/>
          <w:szCs w:val="32"/>
        </w:rPr>
        <w:t>8</w:t>
      </w:r>
      <w:r w:rsidR="006D4B68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万户，互联网接入用户</w:t>
      </w:r>
      <w:r w:rsidR="00E22B5B">
        <w:rPr>
          <w:rFonts w:ascii="仿宋" w:eastAsia="仿宋" w:hAnsi="仿宋" w:hint="eastAsia"/>
          <w:sz w:val="32"/>
          <w:szCs w:val="32"/>
        </w:rPr>
        <w:t>10</w:t>
      </w:r>
      <w:r w:rsidR="00073697" w:rsidRPr="00E7206A">
        <w:rPr>
          <w:rFonts w:ascii="仿宋" w:eastAsia="仿宋" w:hAnsi="仿宋" w:hint="eastAsia"/>
          <w:sz w:val="32"/>
          <w:szCs w:val="32"/>
        </w:rPr>
        <w:t>.</w:t>
      </w:r>
      <w:r w:rsidR="00E22B5B">
        <w:rPr>
          <w:rFonts w:ascii="仿宋" w:eastAsia="仿宋" w:hAnsi="仿宋" w:hint="eastAsia"/>
          <w:sz w:val="32"/>
          <w:szCs w:val="32"/>
        </w:rPr>
        <w:t>5</w:t>
      </w:r>
      <w:r w:rsidR="006D4B68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万户。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全年共接待游客</w:t>
      </w:r>
      <w:r w:rsidR="00E80C28">
        <w:rPr>
          <w:rFonts w:ascii="仿宋" w:eastAsia="仿宋" w:hAnsi="仿宋" w:hint="eastAsia"/>
          <w:sz w:val="32"/>
          <w:szCs w:val="32"/>
        </w:rPr>
        <w:t>3</w:t>
      </w:r>
      <w:r w:rsidR="00FD0515" w:rsidRPr="00E7206A">
        <w:rPr>
          <w:rFonts w:ascii="仿宋" w:eastAsia="仿宋" w:hAnsi="仿宋" w:hint="eastAsia"/>
          <w:sz w:val="32"/>
          <w:szCs w:val="32"/>
        </w:rPr>
        <w:t>1</w:t>
      </w:r>
      <w:r w:rsidR="00E80C28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40A04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万人次，比上年</w:t>
      </w:r>
      <w:r w:rsidR="00F40A04">
        <w:rPr>
          <w:rFonts w:ascii="仿宋" w:eastAsia="仿宋" w:hAnsi="仿宋" w:hint="eastAsia"/>
          <w:sz w:val="32"/>
          <w:szCs w:val="32"/>
        </w:rPr>
        <w:t>下降63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40A04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%；实现旅游收入</w:t>
      </w:r>
      <w:r w:rsidR="00F40A04">
        <w:rPr>
          <w:rFonts w:ascii="仿宋" w:eastAsia="仿宋" w:hAnsi="仿宋" w:hint="eastAsia"/>
          <w:sz w:val="32"/>
          <w:szCs w:val="32"/>
        </w:rPr>
        <w:t>9</w:t>
      </w:r>
      <w:r w:rsidR="00405191" w:rsidRPr="00E7206A">
        <w:rPr>
          <w:rFonts w:ascii="仿宋" w:eastAsia="仿宋" w:hAnsi="仿宋" w:hint="eastAsia"/>
          <w:sz w:val="32"/>
          <w:szCs w:val="32"/>
        </w:rPr>
        <w:t>.</w:t>
      </w:r>
      <w:r w:rsidR="00F40A04">
        <w:rPr>
          <w:rFonts w:ascii="仿宋" w:eastAsia="仿宋" w:hAnsi="仿宋" w:hint="eastAsia"/>
          <w:sz w:val="32"/>
          <w:szCs w:val="32"/>
        </w:rPr>
        <w:t>2</w:t>
      </w:r>
      <w:r w:rsidR="00405191" w:rsidRPr="00E7206A">
        <w:rPr>
          <w:rFonts w:ascii="仿宋" w:eastAsia="仿宋" w:hAnsi="仿宋" w:hint="eastAsia"/>
          <w:sz w:val="32"/>
          <w:szCs w:val="32"/>
        </w:rPr>
        <w:t>亿</w:t>
      </w:r>
      <w:r w:rsidRPr="00E7206A">
        <w:rPr>
          <w:rFonts w:ascii="仿宋" w:eastAsia="仿宋" w:hAnsi="仿宋" w:hint="eastAsia"/>
          <w:sz w:val="32"/>
          <w:szCs w:val="32"/>
        </w:rPr>
        <w:t>元，</w:t>
      </w:r>
      <w:r w:rsidR="00F40A04" w:rsidRPr="00E7206A">
        <w:rPr>
          <w:rFonts w:ascii="仿宋" w:eastAsia="仿宋" w:hAnsi="仿宋" w:hint="eastAsia"/>
          <w:sz w:val="32"/>
          <w:szCs w:val="32"/>
        </w:rPr>
        <w:t>比上年</w:t>
      </w:r>
      <w:r w:rsidR="00F40A04">
        <w:rPr>
          <w:rFonts w:ascii="仿宋" w:eastAsia="仿宋" w:hAnsi="仿宋" w:hint="eastAsia"/>
          <w:sz w:val="32"/>
          <w:szCs w:val="32"/>
        </w:rPr>
        <w:t>下降70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40A04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九、教育和科学技术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全县共有幼儿园</w:t>
      </w:r>
      <w:r w:rsidR="003D093B">
        <w:rPr>
          <w:rFonts w:ascii="仿宋" w:eastAsia="仿宋" w:hAnsi="仿宋" w:hint="eastAsia"/>
          <w:sz w:val="32"/>
          <w:szCs w:val="32"/>
        </w:rPr>
        <w:t>36</w:t>
      </w:r>
      <w:r w:rsidRPr="00E7206A">
        <w:rPr>
          <w:rFonts w:ascii="仿宋" w:eastAsia="仿宋" w:hAnsi="仿宋" w:hint="eastAsia"/>
          <w:sz w:val="32"/>
          <w:szCs w:val="32"/>
        </w:rPr>
        <w:t>所，离园人数</w:t>
      </w:r>
      <w:r w:rsidR="005365CF" w:rsidRPr="00E7206A">
        <w:rPr>
          <w:rFonts w:ascii="仿宋" w:eastAsia="仿宋" w:hAnsi="仿宋" w:hint="eastAsia"/>
          <w:sz w:val="32"/>
          <w:szCs w:val="32"/>
        </w:rPr>
        <w:t>2</w:t>
      </w:r>
      <w:r w:rsidR="003D093B">
        <w:rPr>
          <w:rFonts w:ascii="仿宋" w:eastAsia="仿宋" w:hAnsi="仿宋" w:hint="eastAsia"/>
          <w:sz w:val="32"/>
          <w:szCs w:val="32"/>
        </w:rPr>
        <w:t>156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3D093B">
        <w:rPr>
          <w:rFonts w:ascii="仿宋" w:eastAsia="仿宋" w:hAnsi="仿宋" w:hint="eastAsia"/>
          <w:sz w:val="32"/>
          <w:szCs w:val="32"/>
        </w:rPr>
        <w:t>4734</w:t>
      </w:r>
      <w:r w:rsidRPr="00E7206A">
        <w:rPr>
          <w:rFonts w:ascii="仿宋" w:eastAsia="仿宋" w:hAnsi="仿宋" w:hint="eastAsia"/>
          <w:sz w:val="32"/>
          <w:szCs w:val="32"/>
        </w:rPr>
        <w:t>人，在校生</w:t>
      </w:r>
      <w:r w:rsidR="003D093B">
        <w:rPr>
          <w:rFonts w:ascii="仿宋" w:eastAsia="仿宋" w:hAnsi="仿宋" w:hint="eastAsia"/>
          <w:sz w:val="32"/>
          <w:szCs w:val="32"/>
        </w:rPr>
        <w:t>8484</w:t>
      </w:r>
      <w:r w:rsidRPr="00E7206A">
        <w:rPr>
          <w:rFonts w:ascii="仿宋" w:eastAsia="仿宋" w:hAnsi="仿宋" w:hint="eastAsia"/>
          <w:sz w:val="32"/>
          <w:szCs w:val="32"/>
        </w:rPr>
        <w:t>人。共有小学8</w:t>
      </w:r>
      <w:r w:rsidR="003D093B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所，毕业生</w:t>
      </w:r>
      <w:r w:rsidR="003D093B">
        <w:rPr>
          <w:rFonts w:ascii="仿宋" w:eastAsia="仿宋" w:hAnsi="仿宋" w:hint="eastAsia"/>
          <w:sz w:val="32"/>
          <w:szCs w:val="32"/>
        </w:rPr>
        <w:t>5066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3D093B">
        <w:rPr>
          <w:rFonts w:ascii="仿宋" w:eastAsia="仿宋" w:hAnsi="仿宋" w:hint="eastAsia"/>
          <w:sz w:val="32"/>
          <w:szCs w:val="32"/>
        </w:rPr>
        <w:t>5869</w:t>
      </w:r>
      <w:r w:rsidRPr="00E7206A">
        <w:rPr>
          <w:rFonts w:ascii="仿宋" w:eastAsia="仿宋" w:hAnsi="仿宋" w:hint="eastAsia"/>
          <w:sz w:val="32"/>
          <w:szCs w:val="32"/>
        </w:rPr>
        <w:t>人，在校学生3</w:t>
      </w:r>
      <w:r w:rsidR="003D093B">
        <w:rPr>
          <w:rFonts w:ascii="仿宋" w:eastAsia="仿宋" w:hAnsi="仿宋" w:hint="eastAsia"/>
          <w:sz w:val="32"/>
          <w:szCs w:val="32"/>
        </w:rPr>
        <w:t>7</w:t>
      </w:r>
      <w:r w:rsidR="005365CF" w:rsidRPr="00E7206A">
        <w:rPr>
          <w:rFonts w:ascii="仿宋" w:eastAsia="仿宋" w:hAnsi="仿宋" w:hint="eastAsia"/>
          <w:sz w:val="32"/>
          <w:szCs w:val="32"/>
        </w:rPr>
        <w:t>005</w:t>
      </w:r>
      <w:r w:rsidRPr="00E7206A">
        <w:rPr>
          <w:rFonts w:ascii="仿宋" w:eastAsia="仿宋" w:hAnsi="仿宋" w:hint="eastAsia"/>
          <w:sz w:val="32"/>
          <w:szCs w:val="32"/>
        </w:rPr>
        <w:t>人。共有初中1</w:t>
      </w:r>
      <w:r w:rsidR="005365CF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所，毕业生</w:t>
      </w:r>
      <w:r w:rsidR="005365CF" w:rsidRPr="00E7206A">
        <w:rPr>
          <w:rFonts w:ascii="仿宋" w:eastAsia="仿宋" w:hAnsi="仿宋" w:hint="eastAsia"/>
          <w:sz w:val="32"/>
          <w:szCs w:val="32"/>
        </w:rPr>
        <w:t>3</w:t>
      </w:r>
      <w:r w:rsidR="003D093B">
        <w:rPr>
          <w:rFonts w:ascii="仿宋" w:eastAsia="仿宋" w:hAnsi="仿宋" w:hint="eastAsia"/>
          <w:sz w:val="32"/>
          <w:szCs w:val="32"/>
        </w:rPr>
        <w:t>924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3D093B">
        <w:rPr>
          <w:rFonts w:ascii="仿宋" w:eastAsia="仿宋" w:hAnsi="仿宋" w:hint="eastAsia"/>
          <w:sz w:val="32"/>
          <w:szCs w:val="32"/>
        </w:rPr>
        <w:t>5127</w:t>
      </w:r>
      <w:r w:rsidRPr="00E7206A">
        <w:rPr>
          <w:rFonts w:ascii="仿宋" w:eastAsia="仿宋" w:hAnsi="仿宋" w:hint="eastAsia"/>
          <w:sz w:val="32"/>
          <w:szCs w:val="32"/>
        </w:rPr>
        <w:t>人，在校学生1</w:t>
      </w:r>
      <w:r w:rsidR="003D093B">
        <w:rPr>
          <w:rFonts w:ascii="仿宋" w:eastAsia="仿宋" w:hAnsi="仿宋" w:hint="eastAsia"/>
          <w:sz w:val="32"/>
          <w:szCs w:val="32"/>
        </w:rPr>
        <w:t>4333</w:t>
      </w:r>
      <w:r w:rsidRPr="00E7206A">
        <w:rPr>
          <w:rFonts w:ascii="仿宋" w:eastAsia="仿宋" w:hAnsi="仿宋" w:hint="eastAsia"/>
          <w:sz w:val="32"/>
          <w:szCs w:val="32"/>
        </w:rPr>
        <w:t>人。共有高中</w:t>
      </w:r>
      <w:r w:rsidR="005365CF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所，毕业生1</w:t>
      </w:r>
      <w:r w:rsidR="003D093B">
        <w:rPr>
          <w:rFonts w:ascii="仿宋" w:eastAsia="仿宋" w:hAnsi="仿宋" w:hint="eastAsia"/>
          <w:sz w:val="32"/>
          <w:szCs w:val="32"/>
        </w:rPr>
        <w:t>021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466145" w:rsidRPr="00E7206A">
        <w:rPr>
          <w:rFonts w:ascii="仿宋" w:eastAsia="仿宋" w:hAnsi="仿宋" w:hint="eastAsia"/>
          <w:sz w:val="32"/>
          <w:szCs w:val="32"/>
        </w:rPr>
        <w:t>1</w:t>
      </w:r>
      <w:r w:rsidR="003D093B">
        <w:rPr>
          <w:rFonts w:ascii="仿宋" w:eastAsia="仿宋" w:hAnsi="仿宋" w:hint="eastAsia"/>
          <w:sz w:val="32"/>
          <w:szCs w:val="32"/>
        </w:rPr>
        <w:t>289</w:t>
      </w:r>
      <w:r w:rsidRPr="00E7206A">
        <w:rPr>
          <w:rFonts w:ascii="仿宋" w:eastAsia="仿宋" w:hAnsi="仿宋" w:hint="eastAsia"/>
          <w:sz w:val="32"/>
          <w:szCs w:val="32"/>
        </w:rPr>
        <w:t>人，在校学生</w:t>
      </w:r>
      <w:r w:rsidR="003D093B">
        <w:rPr>
          <w:rFonts w:ascii="仿宋" w:eastAsia="仿宋" w:hAnsi="仿宋" w:hint="eastAsia"/>
          <w:sz w:val="32"/>
          <w:szCs w:val="32"/>
        </w:rPr>
        <w:t>4050</w:t>
      </w:r>
      <w:r w:rsidRPr="00E7206A">
        <w:rPr>
          <w:rFonts w:ascii="仿宋" w:eastAsia="仿宋" w:hAnsi="仿宋" w:hint="eastAsia"/>
          <w:sz w:val="32"/>
          <w:szCs w:val="32"/>
        </w:rPr>
        <w:t>人。共有特殊教育学校1所，</w:t>
      </w:r>
      <w:r w:rsidR="00466145" w:rsidRPr="00E7206A">
        <w:rPr>
          <w:rFonts w:ascii="仿宋" w:eastAsia="仿宋" w:hAnsi="仿宋" w:hint="eastAsia"/>
          <w:sz w:val="32"/>
          <w:szCs w:val="32"/>
        </w:rPr>
        <w:t>毕业生</w:t>
      </w:r>
      <w:r w:rsidR="003D093B">
        <w:rPr>
          <w:rFonts w:ascii="仿宋" w:eastAsia="仿宋" w:hAnsi="仿宋" w:hint="eastAsia"/>
          <w:sz w:val="32"/>
          <w:szCs w:val="32"/>
        </w:rPr>
        <w:t>10</w:t>
      </w:r>
      <w:r w:rsidR="00466145" w:rsidRPr="00E7206A">
        <w:rPr>
          <w:rFonts w:ascii="仿宋" w:eastAsia="仿宋" w:hAnsi="仿宋" w:hint="eastAsia"/>
          <w:sz w:val="32"/>
          <w:szCs w:val="32"/>
        </w:rPr>
        <w:t>人，</w:t>
      </w:r>
      <w:r w:rsidRPr="00E7206A">
        <w:rPr>
          <w:rFonts w:ascii="仿宋" w:eastAsia="仿宋" w:hAnsi="仿宋" w:hint="eastAsia"/>
          <w:sz w:val="32"/>
          <w:szCs w:val="32"/>
        </w:rPr>
        <w:t>招生</w:t>
      </w:r>
      <w:r w:rsidR="003D093B">
        <w:rPr>
          <w:rFonts w:ascii="仿宋" w:eastAsia="仿宋" w:hAnsi="仿宋" w:hint="eastAsia"/>
          <w:sz w:val="32"/>
          <w:szCs w:val="32"/>
        </w:rPr>
        <w:t>25</w:t>
      </w:r>
      <w:r w:rsidRPr="00E7206A">
        <w:rPr>
          <w:rFonts w:ascii="仿宋" w:eastAsia="仿宋" w:hAnsi="仿宋" w:hint="eastAsia"/>
          <w:sz w:val="32"/>
          <w:szCs w:val="32"/>
        </w:rPr>
        <w:t>人，在校学生</w:t>
      </w:r>
      <w:r w:rsidR="00466145" w:rsidRPr="00E7206A">
        <w:rPr>
          <w:rFonts w:ascii="仿宋" w:eastAsia="仿宋" w:hAnsi="仿宋" w:hint="eastAsia"/>
          <w:sz w:val="32"/>
          <w:szCs w:val="32"/>
        </w:rPr>
        <w:t>1</w:t>
      </w:r>
      <w:r w:rsidR="003D093B">
        <w:rPr>
          <w:rFonts w:ascii="仿宋" w:eastAsia="仿宋" w:hAnsi="仿宋" w:hint="eastAsia"/>
          <w:sz w:val="32"/>
          <w:szCs w:val="32"/>
        </w:rPr>
        <w:t>38</w:t>
      </w:r>
      <w:r w:rsidRPr="00E7206A">
        <w:rPr>
          <w:rFonts w:ascii="仿宋" w:eastAsia="仿宋" w:hAnsi="仿宋" w:hint="eastAsia"/>
          <w:sz w:val="32"/>
          <w:szCs w:val="32"/>
        </w:rPr>
        <w:t>人。全县各类学校共有教职工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4</w:t>
      </w:r>
      <w:r w:rsidR="005D55DC">
        <w:rPr>
          <w:rFonts w:ascii="仿宋" w:eastAsia="仿宋" w:hAnsi="仿宋" w:hint="eastAsia"/>
          <w:sz w:val="32"/>
          <w:szCs w:val="32"/>
        </w:rPr>
        <w:t>758</w:t>
      </w:r>
      <w:r w:rsidRPr="00E7206A">
        <w:rPr>
          <w:rFonts w:ascii="仿宋" w:eastAsia="仿宋" w:hAnsi="仿宋" w:hint="eastAsia"/>
          <w:sz w:val="32"/>
          <w:szCs w:val="32"/>
        </w:rPr>
        <w:t>人，其中专任教师3</w:t>
      </w:r>
      <w:r w:rsidR="005D55DC">
        <w:rPr>
          <w:rFonts w:ascii="仿宋" w:eastAsia="仿宋" w:hAnsi="仿宋" w:hint="eastAsia"/>
          <w:sz w:val="32"/>
          <w:szCs w:val="32"/>
        </w:rPr>
        <w:t>843</w:t>
      </w:r>
      <w:r w:rsidRPr="00E7206A">
        <w:rPr>
          <w:rFonts w:ascii="仿宋" w:eastAsia="仿宋" w:hAnsi="仿宋" w:hint="eastAsia"/>
          <w:sz w:val="32"/>
          <w:szCs w:val="32"/>
        </w:rPr>
        <w:t>人。幼儿园共有教职工</w:t>
      </w:r>
      <w:r w:rsidR="005D55DC">
        <w:rPr>
          <w:rFonts w:ascii="仿宋" w:eastAsia="仿宋" w:hAnsi="仿宋" w:hint="eastAsia"/>
          <w:sz w:val="32"/>
          <w:szCs w:val="32"/>
        </w:rPr>
        <w:t>602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CD350F" w:rsidRPr="00E7206A">
        <w:rPr>
          <w:rFonts w:ascii="仿宋" w:eastAsia="仿宋" w:hAnsi="仿宋" w:hint="eastAsia"/>
          <w:sz w:val="32"/>
          <w:szCs w:val="32"/>
        </w:rPr>
        <w:t>3</w:t>
      </w:r>
      <w:r w:rsidR="005D55DC">
        <w:rPr>
          <w:rFonts w:ascii="仿宋" w:eastAsia="仿宋" w:hAnsi="仿宋" w:hint="eastAsia"/>
          <w:sz w:val="32"/>
          <w:szCs w:val="32"/>
        </w:rPr>
        <w:t>1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人；全县各小学共有教职工2</w:t>
      </w:r>
      <w:r w:rsidR="005D55DC">
        <w:rPr>
          <w:rFonts w:ascii="仿宋" w:eastAsia="仿宋" w:hAnsi="仿宋" w:hint="eastAsia"/>
          <w:sz w:val="32"/>
          <w:szCs w:val="32"/>
        </w:rPr>
        <w:t>096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5D55DC">
        <w:rPr>
          <w:rFonts w:ascii="仿宋" w:eastAsia="仿宋" w:hAnsi="仿宋" w:hint="eastAsia"/>
          <w:sz w:val="32"/>
          <w:szCs w:val="32"/>
        </w:rPr>
        <w:t>1835</w:t>
      </w:r>
      <w:r w:rsidRPr="00E7206A">
        <w:rPr>
          <w:rFonts w:ascii="仿宋" w:eastAsia="仿宋" w:hAnsi="仿宋" w:hint="eastAsia"/>
          <w:sz w:val="32"/>
          <w:szCs w:val="32"/>
        </w:rPr>
        <w:t>人；初级中学共有教职工</w:t>
      </w:r>
      <w:r w:rsidR="005D55DC">
        <w:rPr>
          <w:rFonts w:ascii="仿宋" w:eastAsia="仿宋" w:hAnsi="仿宋" w:hint="eastAsia"/>
          <w:sz w:val="32"/>
          <w:szCs w:val="32"/>
        </w:rPr>
        <w:t>852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5D55DC">
        <w:rPr>
          <w:rFonts w:ascii="仿宋" w:eastAsia="仿宋" w:hAnsi="仿宋" w:hint="eastAsia"/>
          <w:sz w:val="32"/>
          <w:szCs w:val="32"/>
        </w:rPr>
        <w:t>715</w:t>
      </w:r>
      <w:r w:rsidRPr="00E7206A">
        <w:rPr>
          <w:rFonts w:ascii="仿宋" w:eastAsia="仿宋" w:hAnsi="仿宋" w:hint="eastAsia"/>
          <w:sz w:val="32"/>
          <w:szCs w:val="32"/>
        </w:rPr>
        <w:t>人；九年一贯制学校共有教职工</w:t>
      </w:r>
      <w:r w:rsidR="005D55DC">
        <w:rPr>
          <w:rFonts w:ascii="仿宋" w:eastAsia="仿宋" w:hAnsi="仿宋" w:hint="eastAsia"/>
          <w:sz w:val="32"/>
          <w:szCs w:val="32"/>
        </w:rPr>
        <w:t>220</w:t>
      </w:r>
      <w:r w:rsidRPr="00E7206A">
        <w:rPr>
          <w:rFonts w:ascii="仿宋" w:eastAsia="仿宋" w:hAnsi="仿宋" w:hint="eastAsia"/>
          <w:sz w:val="32"/>
          <w:szCs w:val="32"/>
        </w:rPr>
        <w:t>人，其中专任教师1</w:t>
      </w:r>
      <w:r w:rsidR="005D55DC">
        <w:rPr>
          <w:rFonts w:ascii="仿宋" w:eastAsia="仿宋" w:hAnsi="仿宋" w:hint="eastAsia"/>
          <w:sz w:val="32"/>
          <w:szCs w:val="32"/>
        </w:rPr>
        <w:t>74</w:t>
      </w:r>
      <w:r w:rsidRPr="00E7206A">
        <w:rPr>
          <w:rFonts w:ascii="仿宋" w:eastAsia="仿宋" w:hAnsi="仿宋" w:hint="eastAsia"/>
          <w:sz w:val="32"/>
          <w:szCs w:val="32"/>
        </w:rPr>
        <w:t>人；完全中学共有教职工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8</w:t>
      </w:r>
      <w:r w:rsidR="005D55DC">
        <w:rPr>
          <w:rFonts w:ascii="仿宋" w:eastAsia="仿宋" w:hAnsi="仿宋" w:hint="eastAsia"/>
          <w:sz w:val="32"/>
          <w:szCs w:val="32"/>
        </w:rPr>
        <w:t>3</w:t>
      </w:r>
      <w:r w:rsidR="00BA04AB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5D55DC">
        <w:rPr>
          <w:rFonts w:ascii="仿宋" w:eastAsia="仿宋" w:hAnsi="仿宋" w:hint="eastAsia"/>
          <w:sz w:val="32"/>
          <w:szCs w:val="32"/>
        </w:rPr>
        <w:t>712</w:t>
      </w:r>
      <w:r w:rsidRPr="00E7206A">
        <w:rPr>
          <w:rFonts w:ascii="仿宋" w:eastAsia="仿宋" w:hAnsi="仿宋" w:hint="eastAsia"/>
          <w:sz w:val="32"/>
          <w:szCs w:val="32"/>
        </w:rPr>
        <w:t>人；</w:t>
      </w:r>
      <w:r w:rsidR="008531A0">
        <w:rPr>
          <w:rFonts w:ascii="仿宋" w:eastAsia="仿宋" w:hAnsi="仿宋" w:hint="eastAsia"/>
          <w:sz w:val="32"/>
          <w:szCs w:val="32"/>
        </w:rPr>
        <w:t>十二</w:t>
      </w:r>
      <w:r w:rsidR="008531A0" w:rsidRPr="00E7206A">
        <w:rPr>
          <w:rFonts w:ascii="仿宋" w:eastAsia="仿宋" w:hAnsi="仿宋" w:hint="eastAsia"/>
          <w:sz w:val="32"/>
          <w:szCs w:val="32"/>
        </w:rPr>
        <w:t>年一贯制学校共有教职工</w:t>
      </w:r>
      <w:r w:rsidR="008531A0">
        <w:rPr>
          <w:rFonts w:ascii="仿宋" w:eastAsia="仿宋" w:hAnsi="仿宋" w:hint="eastAsia"/>
          <w:sz w:val="32"/>
          <w:szCs w:val="32"/>
        </w:rPr>
        <w:t>125</w:t>
      </w:r>
      <w:r w:rsidR="008531A0"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8531A0">
        <w:rPr>
          <w:rFonts w:ascii="仿宋" w:eastAsia="仿宋" w:hAnsi="仿宋" w:hint="eastAsia"/>
          <w:sz w:val="32"/>
          <w:szCs w:val="32"/>
        </w:rPr>
        <w:t>68</w:t>
      </w:r>
      <w:r w:rsidR="008531A0" w:rsidRPr="00E7206A">
        <w:rPr>
          <w:rFonts w:ascii="仿宋" w:eastAsia="仿宋" w:hAnsi="仿宋" w:hint="eastAsia"/>
          <w:sz w:val="32"/>
          <w:szCs w:val="32"/>
        </w:rPr>
        <w:t>人；</w:t>
      </w:r>
      <w:r w:rsidRPr="00E7206A">
        <w:rPr>
          <w:rFonts w:ascii="仿宋" w:eastAsia="仿宋" w:hAnsi="仿宋" w:hint="eastAsia"/>
          <w:sz w:val="32"/>
          <w:szCs w:val="32"/>
        </w:rPr>
        <w:t>特殊教育学校共有教职工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3</w:t>
      </w:r>
      <w:r w:rsidR="008531A0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="008531A0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20</w:t>
      </w:r>
      <w:r w:rsidR="00BD7261">
        <w:rPr>
          <w:rFonts w:ascii="仿宋" w:eastAsia="仿宋" w:hAnsi="仿宋" w:hint="eastAsia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年底，全县共有经省科技厅认定的高新技术企业</w:t>
      </w:r>
      <w:r w:rsidR="00975EB5" w:rsidRPr="00E7206A">
        <w:rPr>
          <w:rFonts w:ascii="仿宋" w:eastAsia="仿宋" w:hAnsi="仿宋" w:hint="eastAsia"/>
          <w:sz w:val="32"/>
          <w:szCs w:val="32"/>
        </w:rPr>
        <w:t>4</w:t>
      </w:r>
      <w:r w:rsidR="00BD7261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家，其中本年认定</w:t>
      </w:r>
      <w:r w:rsidR="00BD7261">
        <w:rPr>
          <w:rFonts w:ascii="仿宋" w:eastAsia="仿宋" w:hAnsi="仿宋" w:hint="eastAsia"/>
          <w:sz w:val="32"/>
          <w:szCs w:val="32"/>
        </w:rPr>
        <w:t>10</w:t>
      </w:r>
      <w:r w:rsidRPr="00E7206A">
        <w:rPr>
          <w:rFonts w:ascii="仿宋" w:eastAsia="仿宋" w:hAnsi="仿宋" w:hint="eastAsia"/>
          <w:sz w:val="32"/>
          <w:szCs w:val="32"/>
        </w:rPr>
        <w:t>家。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十、文化、卫生和体育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全县有公有制艺术表演团体</w:t>
      </w:r>
      <w:r w:rsidR="00C205C6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个，全年演出</w:t>
      </w:r>
      <w:r w:rsidR="00C205C6" w:rsidRPr="00E7206A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0场；文物管理所1个，文物藏品305件；公共图书馆1个，图书总藏量约</w:t>
      </w:r>
      <w:r w:rsidR="00505F74" w:rsidRPr="00E7206A">
        <w:rPr>
          <w:rFonts w:ascii="仿宋" w:eastAsia="仿宋" w:hAnsi="仿宋" w:hint="eastAsia"/>
          <w:sz w:val="32"/>
          <w:szCs w:val="32"/>
        </w:rPr>
        <w:t>200</w:t>
      </w:r>
      <w:r w:rsidRPr="00E7206A">
        <w:rPr>
          <w:rFonts w:ascii="仿宋" w:eastAsia="仿宋" w:hAnsi="仿宋" w:hint="eastAsia"/>
          <w:sz w:val="32"/>
          <w:szCs w:val="32"/>
        </w:rPr>
        <w:t>千册；文化馆1个，全年举办各种文艺活动2</w:t>
      </w:r>
      <w:r w:rsidR="00C205C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次。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年末全县共有医疗卫生机构5</w:t>
      </w:r>
      <w:r w:rsidR="00754743">
        <w:rPr>
          <w:rFonts w:ascii="仿宋" w:eastAsia="仿宋" w:hAnsi="仿宋" w:hint="eastAsia"/>
          <w:sz w:val="32"/>
          <w:szCs w:val="32"/>
        </w:rPr>
        <w:t>57</w:t>
      </w:r>
      <w:r w:rsidRPr="00E7206A">
        <w:rPr>
          <w:rFonts w:ascii="仿宋" w:eastAsia="仿宋" w:hAnsi="仿宋" w:hint="eastAsia"/>
          <w:sz w:val="32"/>
          <w:szCs w:val="32"/>
        </w:rPr>
        <w:t>个。其中：医院</w:t>
      </w:r>
      <w:r w:rsidR="005D47D8" w:rsidRPr="00E7206A">
        <w:rPr>
          <w:rFonts w:ascii="仿宋" w:eastAsia="仿宋" w:hAnsi="仿宋" w:hint="eastAsia"/>
          <w:sz w:val="32"/>
          <w:szCs w:val="32"/>
        </w:rPr>
        <w:t>1</w:t>
      </w:r>
      <w:r w:rsidR="00754743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所，含综合医院</w:t>
      </w:r>
      <w:r w:rsidR="00754743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所，中医医院1所</w:t>
      </w:r>
      <w:r w:rsidR="005D47D8" w:rsidRPr="00E7206A">
        <w:rPr>
          <w:rFonts w:ascii="仿宋" w:eastAsia="仿宋" w:hAnsi="仿宋" w:hint="eastAsia"/>
          <w:sz w:val="32"/>
          <w:szCs w:val="32"/>
        </w:rPr>
        <w:t>，专科医院1所</w:t>
      </w:r>
      <w:r w:rsidRPr="00E7206A">
        <w:rPr>
          <w:rFonts w:ascii="仿宋" w:eastAsia="仿宋" w:hAnsi="仿宋" w:hint="eastAsia"/>
          <w:sz w:val="32"/>
          <w:szCs w:val="32"/>
        </w:rPr>
        <w:t>。基层医疗卫生机构5</w:t>
      </w:r>
      <w:r w:rsidR="00754743">
        <w:rPr>
          <w:rFonts w:ascii="仿宋" w:eastAsia="仿宋" w:hAnsi="仿宋" w:hint="eastAsia"/>
          <w:sz w:val="32"/>
          <w:szCs w:val="32"/>
        </w:rPr>
        <w:t>46</w:t>
      </w:r>
      <w:r w:rsidRPr="00E7206A">
        <w:rPr>
          <w:rFonts w:ascii="仿宋" w:eastAsia="仿宋" w:hAnsi="仿宋" w:hint="eastAsia"/>
          <w:sz w:val="32"/>
          <w:szCs w:val="32"/>
        </w:rPr>
        <w:t>个，包括社区卫生服务中心（站）1个，乡镇卫生院10所，村卫生室4</w:t>
      </w:r>
      <w:r w:rsidR="00754743">
        <w:rPr>
          <w:rFonts w:ascii="仿宋" w:eastAsia="仿宋" w:hAnsi="仿宋" w:hint="eastAsia"/>
          <w:sz w:val="32"/>
          <w:szCs w:val="32"/>
        </w:rPr>
        <w:t>83</w:t>
      </w:r>
      <w:r w:rsidRPr="00E7206A">
        <w:rPr>
          <w:rFonts w:ascii="仿宋" w:eastAsia="仿宋" w:hAnsi="仿宋" w:hint="eastAsia"/>
          <w:sz w:val="32"/>
          <w:szCs w:val="32"/>
        </w:rPr>
        <w:t>个，</w:t>
      </w:r>
      <w:r w:rsidR="005D47D8" w:rsidRPr="00E7206A">
        <w:rPr>
          <w:rFonts w:ascii="仿宋" w:eastAsia="仿宋" w:hAnsi="仿宋" w:hint="eastAsia"/>
          <w:sz w:val="32"/>
          <w:szCs w:val="32"/>
        </w:rPr>
        <w:t>门诊部</w:t>
      </w:r>
      <w:r w:rsidR="00C205C6" w:rsidRPr="00E7206A">
        <w:rPr>
          <w:rFonts w:ascii="仿宋" w:eastAsia="仿宋" w:hAnsi="仿宋" w:hint="eastAsia"/>
          <w:sz w:val="32"/>
          <w:szCs w:val="32"/>
        </w:rPr>
        <w:t>5</w:t>
      </w:r>
      <w:r w:rsidR="005D47D8" w:rsidRPr="00E7206A">
        <w:rPr>
          <w:rFonts w:ascii="仿宋" w:eastAsia="仿宋" w:hAnsi="仿宋" w:hint="eastAsia"/>
          <w:sz w:val="32"/>
          <w:szCs w:val="32"/>
        </w:rPr>
        <w:t>个，</w:t>
      </w:r>
      <w:r w:rsidRPr="00E7206A">
        <w:rPr>
          <w:rFonts w:ascii="仿宋" w:eastAsia="仿宋" w:hAnsi="仿宋" w:hint="eastAsia"/>
          <w:sz w:val="32"/>
          <w:szCs w:val="32"/>
        </w:rPr>
        <w:t>诊所（卫生所、医务室）</w:t>
      </w:r>
      <w:r w:rsidR="00C205C6" w:rsidRPr="00E7206A">
        <w:rPr>
          <w:rFonts w:ascii="仿宋" w:eastAsia="仿宋" w:hAnsi="仿宋" w:hint="eastAsia"/>
          <w:sz w:val="32"/>
          <w:szCs w:val="32"/>
        </w:rPr>
        <w:t>4</w:t>
      </w:r>
      <w:r w:rsidR="00754743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个。专业公共卫生机构</w:t>
      </w:r>
      <w:r w:rsidR="00754743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个。年末全县医疗卫生机构（医院、卫生院）实有床位1</w:t>
      </w:r>
      <w:r w:rsidR="00754743">
        <w:rPr>
          <w:rFonts w:ascii="仿宋" w:eastAsia="仿宋" w:hAnsi="仿宋" w:hint="eastAsia"/>
          <w:sz w:val="32"/>
          <w:szCs w:val="32"/>
        </w:rPr>
        <w:t>201</w:t>
      </w:r>
      <w:r w:rsidRPr="00E7206A">
        <w:rPr>
          <w:rFonts w:ascii="仿宋" w:eastAsia="仿宋" w:hAnsi="仿宋" w:hint="eastAsia"/>
          <w:sz w:val="32"/>
          <w:szCs w:val="32"/>
        </w:rPr>
        <w:t>张，其中：</w:t>
      </w:r>
      <w:r w:rsidR="00005B11" w:rsidRPr="00E7206A">
        <w:rPr>
          <w:rFonts w:ascii="仿宋" w:eastAsia="仿宋" w:hAnsi="仿宋" w:hint="eastAsia"/>
          <w:sz w:val="32"/>
          <w:szCs w:val="32"/>
        </w:rPr>
        <w:t>1</w:t>
      </w:r>
      <w:r w:rsidR="00754743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所医院拥有</w:t>
      </w:r>
      <w:r w:rsidR="00754743">
        <w:rPr>
          <w:rFonts w:ascii="仿宋" w:eastAsia="仿宋" w:hAnsi="仿宋" w:hint="eastAsia"/>
          <w:sz w:val="32"/>
          <w:szCs w:val="32"/>
        </w:rPr>
        <w:t>807</w:t>
      </w:r>
      <w:r w:rsidRPr="00E7206A">
        <w:rPr>
          <w:rFonts w:ascii="仿宋" w:eastAsia="仿宋" w:hAnsi="仿宋" w:hint="eastAsia"/>
          <w:sz w:val="32"/>
          <w:szCs w:val="32"/>
        </w:rPr>
        <w:t>张，基层医疗卫生机构拥有</w:t>
      </w:r>
      <w:r w:rsidR="005D47D8" w:rsidRPr="00E7206A">
        <w:rPr>
          <w:rFonts w:ascii="仿宋" w:eastAsia="仿宋" w:hAnsi="仿宋" w:hint="eastAsia"/>
          <w:sz w:val="32"/>
          <w:szCs w:val="32"/>
        </w:rPr>
        <w:t>3</w:t>
      </w:r>
      <w:r w:rsidR="00754743">
        <w:rPr>
          <w:rFonts w:ascii="仿宋" w:eastAsia="仿宋" w:hAnsi="仿宋" w:hint="eastAsia"/>
          <w:sz w:val="32"/>
          <w:szCs w:val="32"/>
        </w:rPr>
        <w:t>9</w:t>
      </w:r>
      <w:r w:rsidR="00C205C6" w:rsidRPr="00E7206A">
        <w:rPr>
          <w:rFonts w:ascii="仿宋" w:eastAsia="仿宋" w:hAnsi="仿宋" w:hint="eastAsia"/>
          <w:sz w:val="32"/>
          <w:szCs w:val="32"/>
        </w:rPr>
        <w:t>4</w:t>
      </w:r>
      <w:r w:rsidR="00754743">
        <w:rPr>
          <w:rFonts w:ascii="仿宋" w:eastAsia="仿宋" w:hAnsi="仿宋" w:hint="eastAsia"/>
          <w:sz w:val="32"/>
          <w:szCs w:val="32"/>
        </w:rPr>
        <w:t>张</w:t>
      </w:r>
      <w:r w:rsidRPr="00E7206A">
        <w:rPr>
          <w:rFonts w:ascii="仿宋" w:eastAsia="仿宋" w:hAnsi="仿宋" w:hint="eastAsia"/>
          <w:sz w:val="32"/>
          <w:szCs w:val="32"/>
        </w:rPr>
        <w:t>。全县拥有卫生技术人员1</w:t>
      </w:r>
      <w:r w:rsidR="00754743">
        <w:rPr>
          <w:rFonts w:ascii="仿宋" w:eastAsia="仿宋" w:hAnsi="仿宋" w:hint="eastAsia"/>
          <w:sz w:val="32"/>
          <w:szCs w:val="32"/>
        </w:rPr>
        <w:t>461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5365CF" w:rsidRPr="00E7206A">
        <w:rPr>
          <w:rFonts w:ascii="仿宋" w:eastAsia="仿宋" w:hAnsi="仿宋" w:hint="eastAsia"/>
          <w:sz w:val="32"/>
          <w:szCs w:val="32"/>
        </w:rPr>
        <w:t>8</w:t>
      </w:r>
      <w:r w:rsidR="00754743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  <w:r w:rsidR="00005B11" w:rsidRPr="00E7206A">
        <w:rPr>
          <w:rFonts w:ascii="仿宋" w:eastAsia="仿宋" w:hAnsi="仿宋" w:hint="eastAsia"/>
          <w:sz w:val="32"/>
          <w:szCs w:val="32"/>
        </w:rPr>
        <w:t>1</w:t>
      </w:r>
      <w:r w:rsidR="00754743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所医院拥有卫生技术人员</w:t>
      </w:r>
      <w:r w:rsidR="00005B11" w:rsidRPr="00E7206A">
        <w:rPr>
          <w:rFonts w:ascii="仿宋" w:eastAsia="仿宋" w:hAnsi="仿宋" w:hint="eastAsia"/>
          <w:sz w:val="32"/>
          <w:szCs w:val="32"/>
        </w:rPr>
        <w:t>7</w:t>
      </w:r>
      <w:r w:rsidR="005365CF" w:rsidRPr="00E7206A">
        <w:rPr>
          <w:rFonts w:ascii="仿宋" w:eastAsia="仿宋" w:hAnsi="仿宋" w:hint="eastAsia"/>
          <w:sz w:val="32"/>
          <w:szCs w:val="32"/>
        </w:rPr>
        <w:t>5</w:t>
      </w:r>
      <w:r w:rsidR="00754743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005B11" w:rsidRPr="00E7206A">
        <w:rPr>
          <w:rFonts w:ascii="仿宋" w:eastAsia="仿宋" w:hAnsi="仿宋" w:hint="eastAsia"/>
          <w:sz w:val="32"/>
          <w:szCs w:val="32"/>
        </w:rPr>
        <w:t>3</w:t>
      </w:r>
      <w:r w:rsidR="00754743">
        <w:rPr>
          <w:rFonts w:ascii="仿宋" w:eastAsia="仿宋" w:hAnsi="仿宋" w:hint="eastAsia"/>
          <w:sz w:val="32"/>
          <w:szCs w:val="32"/>
        </w:rPr>
        <w:t>48</w:t>
      </w:r>
      <w:r w:rsidRPr="00E7206A">
        <w:rPr>
          <w:rFonts w:ascii="仿宋" w:eastAsia="仿宋" w:hAnsi="仿宋" w:hint="eastAsia"/>
          <w:sz w:val="32"/>
          <w:szCs w:val="32"/>
        </w:rPr>
        <w:t>人；基层医疗卫生机构有卫生技术人员</w:t>
      </w:r>
      <w:r w:rsidR="00754743">
        <w:rPr>
          <w:rFonts w:ascii="仿宋" w:eastAsia="仿宋" w:hAnsi="仿宋" w:hint="eastAsia"/>
          <w:sz w:val="32"/>
          <w:szCs w:val="32"/>
        </w:rPr>
        <w:t>586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5365CF" w:rsidRPr="00E7206A">
        <w:rPr>
          <w:rFonts w:ascii="仿宋" w:eastAsia="仿宋" w:hAnsi="仿宋" w:hint="eastAsia"/>
          <w:sz w:val="32"/>
          <w:szCs w:val="32"/>
        </w:rPr>
        <w:t>4</w:t>
      </w:r>
      <w:r w:rsidR="00754743">
        <w:rPr>
          <w:rFonts w:ascii="仿宋" w:eastAsia="仿宋" w:hAnsi="仿宋" w:hint="eastAsia"/>
          <w:sz w:val="32"/>
          <w:szCs w:val="32"/>
        </w:rPr>
        <w:t>29</w:t>
      </w:r>
      <w:r w:rsidRPr="00E7206A">
        <w:rPr>
          <w:rFonts w:ascii="仿宋" w:eastAsia="仿宋" w:hAnsi="仿宋" w:hint="eastAsia"/>
          <w:sz w:val="32"/>
          <w:szCs w:val="32"/>
        </w:rPr>
        <w:t>人；专业公共卫生机构有卫生技术人员</w:t>
      </w:r>
      <w:r w:rsidR="00754743">
        <w:rPr>
          <w:rFonts w:ascii="仿宋" w:eastAsia="仿宋" w:hAnsi="仿宋" w:hint="eastAsia"/>
          <w:sz w:val="32"/>
          <w:szCs w:val="32"/>
        </w:rPr>
        <w:t>124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754743">
        <w:rPr>
          <w:rFonts w:ascii="仿宋" w:eastAsia="仿宋" w:hAnsi="仿宋" w:hint="eastAsia"/>
          <w:sz w:val="32"/>
          <w:szCs w:val="32"/>
        </w:rPr>
        <w:t>44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十一、人口、人民生活和社会保障</w:t>
      </w:r>
    </w:p>
    <w:p w:rsidR="00F52744" w:rsidRPr="00E7206A" w:rsidRDefault="00F52744" w:rsidP="00A22D0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年末全县户籍人口41</w:t>
      </w:r>
      <w:r w:rsidR="005E7CC8">
        <w:rPr>
          <w:rFonts w:ascii="仿宋" w:eastAsia="仿宋" w:hAnsi="仿宋" w:hint="eastAsia"/>
          <w:sz w:val="32"/>
          <w:szCs w:val="32"/>
        </w:rPr>
        <w:t>4</w:t>
      </w:r>
      <w:r w:rsidR="000C2E20" w:rsidRPr="00E7206A">
        <w:rPr>
          <w:rFonts w:ascii="仿宋" w:eastAsia="仿宋" w:hAnsi="仿宋" w:hint="eastAsia"/>
          <w:sz w:val="32"/>
          <w:szCs w:val="32"/>
        </w:rPr>
        <w:t>86</w:t>
      </w:r>
      <w:r w:rsidR="005E7CC8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人。从年龄构成看：60岁及以上人口7</w:t>
      </w:r>
      <w:r w:rsidR="005E7CC8">
        <w:rPr>
          <w:rFonts w:ascii="仿宋" w:eastAsia="仿宋" w:hAnsi="仿宋" w:hint="eastAsia"/>
          <w:sz w:val="32"/>
          <w:szCs w:val="32"/>
        </w:rPr>
        <w:t>8747</w:t>
      </w:r>
      <w:r w:rsidRPr="00E7206A">
        <w:rPr>
          <w:rFonts w:ascii="仿宋" w:eastAsia="仿宋" w:hAnsi="仿宋" w:hint="eastAsia"/>
          <w:sz w:val="32"/>
          <w:szCs w:val="32"/>
        </w:rPr>
        <w:t>人，占总人口的1</w:t>
      </w:r>
      <w:r w:rsidR="009C0996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E7CC8">
        <w:rPr>
          <w:rFonts w:ascii="仿宋" w:eastAsia="仿宋" w:hAnsi="仿宋" w:hint="eastAsia"/>
          <w:sz w:val="32"/>
          <w:szCs w:val="32"/>
        </w:rPr>
        <w:t>98</w:t>
      </w:r>
      <w:r w:rsidRPr="00E7206A">
        <w:rPr>
          <w:rFonts w:ascii="仿宋" w:eastAsia="仿宋" w:hAnsi="仿宋" w:hint="eastAsia"/>
          <w:sz w:val="32"/>
          <w:szCs w:val="32"/>
        </w:rPr>
        <w:t>%。出生人口</w:t>
      </w:r>
      <w:r w:rsidR="000C2E20" w:rsidRPr="00E7206A">
        <w:rPr>
          <w:rFonts w:ascii="仿宋" w:eastAsia="仿宋" w:hAnsi="仿宋" w:hint="eastAsia"/>
          <w:sz w:val="32"/>
          <w:szCs w:val="32"/>
        </w:rPr>
        <w:t>4</w:t>
      </w:r>
      <w:r w:rsidR="005E7CC8">
        <w:rPr>
          <w:rFonts w:ascii="仿宋" w:eastAsia="仿宋" w:hAnsi="仿宋" w:hint="eastAsia"/>
          <w:sz w:val="32"/>
          <w:szCs w:val="32"/>
        </w:rPr>
        <w:t>3</w:t>
      </w:r>
      <w:r w:rsidR="000C2E20" w:rsidRPr="00E7206A">
        <w:rPr>
          <w:rFonts w:ascii="仿宋" w:eastAsia="仿宋" w:hAnsi="仿宋" w:hint="eastAsia"/>
          <w:sz w:val="32"/>
          <w:szCs w:val="32"/>
        </w:rPr>
        <w:t>7</w:t>
      </w:r>
      <w:r w:rsidR="005E7CC8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人，出生率1</w:t>
      </w:r>
      <w:r w:rsidR="000C2E20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E7CC8">
        <w:rPr>
          <w:rFonts w:ascii="仿宋" w:eastAsia="仿宋" w:hAnsi="仿宋" w:hint="eastAsia"/>
          <w:sz w:val="32"/>
          <w:szCs w:val="32"/>
        </w:rPr>
        <w:t>55</w:t>
      </w:r>
      <w:r w:rsidRPr="00E7206A">
        <w:rPr>
          <w:rFonts w:ascii="仿宋" w:eastAsia="仿宋" w:hAnsi="仿宋" w:hint="eastAsia"/>
          <w:sz w:val="32"/>
          <w:szCs w:val="32"/>
        </w:rPr>
        <w:t>‰；死亡人口</w:t>
      </w:r>
      <w:r w:rsidR="005E7CC8">
        <w:rPr>
          <w:rFonts w:ascii="仿宋" w:eastAsia="仿宋" w:hAnsi="仿宋" w:hint="eastAsia"/>
          <w:sz w:val="32"/>
          <w:szCs w:val="32"/>
        </w:rPr>
        <w:t>3475</w:t>
      </w:r>
      <w:r w:rsidRPr="00E7206A">
        <w:rPr>
          <w:rFonts w:ascii="仿宋" w:eastAsia="仿宋" w:hAnsi="仿宋" w:hint="eastAsia"/>
          <w:sz w:val="32"/>
          <w:szCs w:val="32"/>
        </w:rPr>
        <w:t>人，死亡率</w:t>
      </w:r>
      <w:r w:rsidR="005E7CC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E7CC8">
        <w:rPr>
          <w:rFonts w:ascii="仿宋" w:eastAsia="仿宋" w:hAnsi="仿宋" w:hint="eastAsia"/>
          <w:sz w:val="32"/>
          <w:szCs w:val="32"/>
        </w:rPr>
        <w:t>38</w:t>
      </w:r>
      <w:r w:rsidRPr="00E7206A">
        <w:rPr>
          <w:rFonts w:ascii="仿宋" w:eastAsia="仿宋" w:hAnsi="仿宋" w:hint="eastAsia"/>
          <w:sz w:val="32"/>
          <w:szCs w:val="32"/>
        </w:rPr>
        <w:t>‰；净增人口</w:t>
      </w:r>
      <w:r w:rsidR="005E7CC8">
        <w:rPr>
          <w:rFonts w:ascii="仿宋" w:eastAsia="仿宋" w:hAnsi="仿宋" w:hint="eastAsia"/>
          <w:sz w:val="32"/>
          <w:szCs w:val="32"/>
        </w:rPr>
        <w:t>899</w:t>
      </w:r>
      <w:r w:rsidRPr="00E7206A">
        <w:rPr>
          <w:rFonts w:ascii="仿宋" w:eastAsia="仿宋" w:hAnsi="仿宋" w:hint="eastAsia"/>
          <w:sz w:val="32"/>
          <w:szCs w:val="32"/>
        </w:rPr>
        <w:t>人，自然增长率</w:t>
      </w:r>
      <w:r w:rsidR="005E7CC8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C2E20" w:rsidRPr="00E7206A">
        <w:rPr>
          <w:rFonts w:ascii="仿宋" w:eastAsia="仿宋" w:hAnsi="仿宋" w:hint="eastAsia"/>
          <w:sz w:val="32"/>
          <w:szCs w:val="32"/>
        </w:rPr>
        <w:t>1</w:t>
      </w:r>
      <w:r w:rsidR="005E7CC8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‰。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城镇居民人均可支配收入达</w:t>
      </w:r>
      <w:r w:rsidR="00BB20BF">
        <w:rPr>
          <w:rFonts w:ascii="仿宋" w:eastAsia="仿宋" w:hAnsi="仿宋" w:hint="eastAsia"/>
          <w:sz w:val="32"/>
          <w:szCs w:val="32"/>
        </w:rPr>
        <w:t>40411</w:t>
      </w:r>
      <w:r w:rsidRPr="00E7206A">
        <w:rPr>
          <w:rFonts w:ascii="仿宋" w:eastAsia="仿宋" w:hAnsi="仿宋" w:hint="eastAsia"/>
          <w:sz w:val="32"/>
          <w:szCs w:val="32"/>
        </w:rPr>
        <w:t>元，比上年增长</w:t>
      </w:r>
      <w:r w:rsidR="00BB20BF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B20BF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%；农村居民人均可支配收入达1</w:t>
      </w:r>
      <w:r w:rsidR="00BB20BF">
        <w:rPr>
          <w:rFonts w:ascii="仿宋" w:eastAsia="仿宋" w:hAnsi="仿宋" w:hint="eastAsia"/>
          <w:sz w:val="32"/>
          <w:szCs w:val="32"/>
        </w:rPr>
        <w:t>8576</w:t>
      </w:r>
      <w:r w:rsidRPr="00E7206A">
        <w:rPr>
          <w:rFonts w:ascii="仿宋" w:eastAsia="仿宋" w:hAnsi="仿宋" w:hint="eastAsia"/>
          <w:sz w:val="32"/>
          <w:szCs w:val="32"/>
        </w:rPr>
        <w:t>元，比上年增长</w:t>
      </w:r>
      <w:r w:rsidR="00BB20BF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B20BF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793A44" w:rsidP="00F52744">
      <w:pPr>
        <w:rPr>
          <w:rFonts w:ascii="仿宋" w:eastAsia="仿宋" w:hAnsi="仿宋"/>
          <w:sz w:val="32"/>
          <w:szCs w:val="32"/>
        </w:rPr>
      </w:pPr>
      <w:r w:rsidRPr="00793A44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489347"/>
            <wp:effectExtent l="0" t="0" r="0" b="0"/>
            <wp:docPr id="17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年末各类企业参加基本养老保险人数</w:t>
      </w:r>
      <w:r w:rsidR="00177949" w:rsidRPr="00E7206A">
        <w:rPr>
          <w:rFonts w:ascii="仿宋" w:eastAsia="仿宋" w:hAnsi="仿宋" w:hint="eastAsia"/>
          <w:sz w:val="32"/>
          <w:szCs w:val="32"/>
        </w:rPr>
        <w:t>3</w:t>
      </w:r>
      <w:r w:rsidR="00080000">
        <w:rPr>
          <w:rFonts w:ascii="仿宋" w:eastAsia="仿宋" w:hAnsi="仿宋" w:hint="eastAsia"/>
          <w:sz w:val="32"/>
          <w:szCs w:val="32"/>
        </w:rPr>
        <w:t>8038</w:t>
      </w:r>
      <w:r w:rsidRPr="00E7206A">
        <w:rPr>
          <w:rFonts w:ascii="仿宋" w:eastAsia="仿宋" w:hAnsi="仿宋" w:hint="eastAsia"/>
          <w:sz w:val="32"/>
          <w:szCs w:val="32"/>
        </w:rPr>
        <w:t>人，其中，在岗职工</w:t>
      </w:r>
      <w:r w:rsidR="00080000">
        <w:rPr>
          <w:rFonts w:ascii="仿宋" w:eastAsia="仿宋" w:hAnsi="仿宋" w:hint="eastAsia"/>
          <w:sz w:val="32"/>
          <w:szCs w:val="32"/>
        </w:rPr>
        <w:t>29314</w:t>
      </w:r>
      <w:r w:rsidRPr="00E7206A">
        <w:rPr>
          <w:rFonts w:ascii="仿宋" w:eastAsia="仿宋" w:hAnsi="仿宋" w:hint="eastAsia"/>
          <w:sz w:val="32"/>
          <w:szCs w:val="32"/>
        </w:rPr>
        <w:t>人；离退休人员</w:t>
      </w:r>
      <w:r w:rsidR="00080000">
        <w:rPr>
          <w:rFonts w:ascii="仿宋" w:eastAsia="仿宋" w:hAnsi="仿宋" w:hint="eastAsia"/>
          <w:sz w:val="32"/>
          <w:szCs w:val="32"/>
        </w:rPr>
        <w:t>8724</w:t>
      </w:r>
      <w:r w:rsidRPr="00E7206A">
        <w:rPr>
          <w:rFonts w:ascii="仿宋" w:eastAsia="仿宋" w:hAnsi="仿宋" w:hint="eastAsia"/>
          <w:sz w:val="32"/>
          <w:szCs w:val="32"/>
        </w:rPr>
        <w:t>人。机关事业单位基本养老保险参保人数为1</w:t>
      </w:r>
      <w:r w:rsidR="00C7140D" w:rsidRPr="00E7206A">
        <w:rPr>
          <w:rFonts w:ascii="仿宋" w:eastAsia="仿宋" w:hAnsi="仿宋" w:hint="eastAsia"/>
          <w:sz w:val="32"/>
          <w:szCs w:val="32"/>
        </w:rPr>
        <w:t>3</w:t>
      </w:r>
      <w:r w:rsidR="00080000">
        <w:rPr>
          <w:rFonts w:ascii="仿宋" w:eastAsia="仿宋" w:hAnsi="仿宋" w:hint="eastAsia"/>
          <w:sz w:val="32"/>
          <w:szCs w:val="32"/>
        </w:rPr>
        <w:t>2</w:t>
      </w:r>
      <w:r w:rsidR="00C7140D" w:rsidRPr="00E7206A">
        <w:rPr>
          <w:rFonts w:ascii="仿宋" w:eastAsia="仿宋" w:hAnsi="仿宋" w:hint="eastAsia"/>
          <w:sz w:val="32"/>
          <w:szCs w:val="32"/>
        </w:rPr>
        <w:t>82</w:t>
      </w:r>
      <w:r w:rsidRPr="00E7206A">
        <w:rPr>
          <w:rFonts w:ascii="仿宋" w:eastAsia="仿宋" w:hAnsi="仿宋" w:hint="eastAsia"/>
          <w:sz w:val="32"/>
          <w:szCs w:val="32"/>
        </w:rPr>
        <w:t>人，其中，在岗职工</w:t>
      </w:r>
      <w:r w:rsidR="00080000">
        <w:rPr>
          <w:rFonts w:ascii="仿宋" w:eastAsia="仿宋" w:hAnsi="仿宋" w:hint="eastAsia"/>
          <w:sz w:val="32"/>
          <w:szCs w:val="32"/>
        </w:rPr>
        <w:t>8686</w:t>
      </w:r>
      <w:r w:rsidRPr="00E7206A">
        <w:rPr>
          <w:rFonts w:ascii="仿宋" w:eastAsia="仿宋" w:hAnsi="仿宋" w:hint="eastAsia"/>
          <w:sz w:val="32"/>
          <w:szCs w:val="32"/>
        </w:rPr>
        <w:t>人,退休人员</w:t>
      </w:r>
      <w:r w:rsidR="00080000">
        <w:rPr>
          <w:rFonts w:ascii="仿宋" w:eastAsia="仿宋" w:hAnsi="仿宋" w:hint="eastAsia"/>
          <w:sz w:val="32"/>
          <w:szCs w:val="32"/>
        </w:rPr>
        <w:t>4596</w:t>
      </w:r>
      <w:r w:rsidRPr="00E7206A">
        <w:rPr>
          <w:rFonts w:ascii="仿宋" w:eastAsia="仿宋" w:hAnsi="仿宋" w:hint="eastAsia"/>
          <w:sz w:val="32"/>
          <w:szCs w:val="32"/>
        </w:rPr>
        <w:t>人。企业和机关事业单位养老保险金社会发放率和足额发放率均为100%。城乡居民基本医疗保险参保人数3</w:t>
      </w:r>
      <w:r w:rsidR="00675EDA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85ECB">
        <w:rPr>
          <w:rFonts w:ascii="仿宋" w:eastAsia="仿宋" w:hAnsi="仿宋" w:hint="eastAsia"/>
          <w:sz w:val="32"/>
          <w:szCs w:val="32"/>
        </w:rPr>
        <w:t>61</w:t>
      </w:r>
      <w:r w:rsidRPr="00E7206A">
        <w:rPr>
          <w:rFonts w:ascii="仿宋" w:eastAsia="仿宋" w:hAnsi="仿宋" w:hint="eastAsia"/>
          <w:sz w:val="32"/>
          <w:szCs w:val="32"/>
        </w:rPr>
        <w:t>万人，比上年末</w:t>
      </w:r>
      <w:r w:rsidR="008153C0" w:rsidRPr="00E7206A">
        <w:rPr>
          <w:rFonts w:ascii="仿宋" w:eastAsia="仿宋" w:hAnsi="仿宋" w:hint="eastAsia"/>
          <w:sz w:val="32"/>
          <w:szCs w:val="32"/>
        </w:rPr>
        <w:t>减少0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85ECB">
        <w:rPr>
          <w:rFonts w:ascii="仿宋" w:eastAsia="仿宋" w:hAnsi="仿宋" w:hint="eastAsia"/>
          <w:sz w:val="32"/>
          <w:szCs w:val="32"/>
        </w:rPr>
        <w:t>38</w:t>
      </w:r>
      <w:r w:rsidRPr="00E7206A">
        <w:rPr>
          <w:rFonts w:ascii="仿宋" w:eastAsia="仿宋" w:hAnsi="仿宋" w:hint="eastAsia"/>
          <w:sz w:val="32"/>
          <w:szCs w:val="32"/>
        </w:rPr>
        <w:t>万人。城乡居民养老保险参保人数21.</w:t>
      </w:r>
      <w:r w:rsidR="00756C28" w:rsidRPr="00E7206A">
        <w:rPr>
          <w:rFonts w:ascii="仿宋" w:eastAsia="仿宋" w:hAnsi="仿宋" w:hint="eastAsia"/>
          <w:sz w:val="32"/>
          <w:szCs w:val="32"/>
        </w:rPr>
        <w:t>7</w:t>
      </w:r>
      <w:r w:rsidR="00521887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万人，参保率达9</w:t>
      </w:r>
      <w:r w:rsidR="00756C28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756C28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4381F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F52744" w:rsidRPr="00E7206A">
        <w:rPr>
          <w:rFonts w:ascii="仿宋" w:eastAsia="仿宋" w:hAnsi="仿宋" w:hint="eastAsia"/>
          <w:sz w:val="32"/>
          <w:szCs w:val="32"/>
        </w:rPr>
        <w:t>年底，全县共有4</w:t>
      </w:r>
      <w:r w:rsidR="006F1993" w:rsidRPr="00E7206A">
        <w:rPr>
          <w:rFonts w:ascii="仿宋" w:eastAsia="仿宋" w:hAnsi="仿宋" w:hint="eastAsia"/>
          <w:sz w:val="32"/>
          <w:szCs w:val="32"/>
        </w:rPr>
        <w:t>5</w:t>
      </w:r>
      <w:r w:rsidR="00080000">
        <w:rPr>
          <w:rFonts w:ascii="仿宋" w:eastAsia="仿宋" w:hAnsi="仿宋" w:hint="eastAsia"/>
          <w:sz w:val="32"/>
          <w:szCs w:val="32"/>
        </w:rPr>
        <w:t>4</w:t>
      </w:r>
      <w:r w:rsidR="006F1993" w:rsidRPr="00E7206A">
        <w:rPr>
          <w:rFonts w:ascii="仿宋" w:eastAsia="仿宋" w:hAnsi="仿宋" w:hint="eastAsia"/>
          <w:sz w:val="32"/>
          <w:szCs w:val="32"/>
        </w:rPr>
        <w:t>6</w:t>
      </w:r>
      <w:r w:rsidR="007625CD" w:rsidRPr="00E7206A">
        <w:rPr>
          <w:rFonts w:ascii="仿宋" w:eastAsia="仿宋" w:hAnsi="仿宋" w:hint="eastAsia"/>
          <w:sz w:val="32"/>
          <w:szCs w:val="32"/>
        </w:rPr>
        <w:t>人享受居民最低生活保障，比上年底增加</w:t>
      </w:r>
      <w:r w:rsidR="00080000">
        <w:rPr>
          <w:rFonts w:ascii="仿宋" w:eastAsia="仿宋" w:hAnsi="仿宋" w:hint="eastAsia"/>
          <w:sz w:val="32"/>
          <w:szCs w:val="32"/>
        </w:rPr>
        <w:t>30</w:t>
      </w:r>
      <w:r w:rsidR="00F52744" w:rsidRPr="00E7206A">
        <w:rPr>
          <w:rFonts w:ascii="仿宋" w:eastAsia="仿宋" w:hAnsi="仿宋" w:hint="eastAsia"/>
          <w:sz w:val="32"/>
          <w:szCs w:val="32"/>
        </w:rPr>
        <w:t>人。其中，城镇居民</w:t>
      </w:r>
      <w:r w:rsidR="006F1993" w:rsidRPr="00E7206A">
        <w:rPr>
          <w:rFonts w:ascii="仿宋" w:eastAsia="仿宋" w:hAnsi="仿宋" w:hint="eastAsia"/>
          <w:sz w:val="32"/>
          <w:szCs w:val="32"/>
        </w:rPr>
        <w:t>9</w:t>
      </w:r>
      <w:r w:rsidR="00080000">
        <w:rPr>
          <w:rFonts w:ascii="仿宋" w:eastAsia="仿宋" w:hAnsi="仿宋" w:hint="eastAsia"/>
          <w:sz w:val="32"/>
          <w:szCs w:val="32"/>
        </w:rPr>
        <w:t>6</w:t>
      </w:r>
      <w:r w:rsidR="00F52744" w:rsidRPr="00E7206A">
        <w:rPr>
          <w:rFonts w:ascii="仿宋" w:eastAsia="仿宋" w:hAnsi="仿宋" w:hint="eastAsia"/>
          <w:sz w:val="32"/>
          <w:szCs w:val="32"/>
        </w:rPr>
        <w:t>人，农村居民4</w:t>
      </w:r>
      <w:r w:rsidR="007625CD" w:rsidRPr="00E7206A">
        <w:rPr>
          <w:rFonts w:ascii="仿宋" w:eastAsia="仿宋" w:hAnsi="仿宋" w:hint="eastAsia"/>
          <w:sz w:val="32"/>
          <w:szCs w:val="32"/>
        </w:rPr>
        <w:t>4</w:t>
      </w:r>
      <w:r w:rsidR="00080000">
        <w:rPr>
          <w:rFonts w:ascii="仿宋" w:eastAsia="仿宋" w:hAnsi="仿宋" w:hint="eastAsia"/>
          <w:sz w:val="32"/>
          <w:szCs w:val="32"/>
        </w:rPr>
        <w:t>50</w:t>
      </w:r>
      <w:r w:rsidR="00F52744"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十二、城建、环保和气象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年末全县建成区绿化覆盖率为</w:t>
      </w:r>
      <w:r w:rsidR="00137D1F" w:rsidRPr="00E7206A">
        <w:rPr>
          <w:rFonts w:ascii="仿宋" w:eastAsia="仿宋" w:hAnsi="仿宋" w:hint="eastAsia"/>
          <w:sz w:val="32"/>
          <w:szCs w:val="32"/>
        </w:rPr>
        <w:t>4</w:t>
      </w:r>
      <w:r w:rsidR="00E01DB5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%，绿地率3</w:t>
      </w:r>
      <w:r w:rsidR="00F37EE7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37D1F" w:rsidRPr="00E7206A">
        <w:rPr>
          <w:rFonts w:ascii="仿宋" w:eastAsia="仿宋" w:hAnsi="仿宋" w:hint="eastAsia"/>
          <w:sz w:val="32"/>
          <w:szCs w:val="32"/>
        </w:rPr>
        <w:t>6</w:t>
      </w:r>
      <w:r w:rsidR="00E01DB5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%，人均公园绿地面积</w:t>
      </w:r>
      <w:r w:rsidR="00F37EE7" w:rsidRPr="00E7206A">
        <w:rPr>
          <w:rFonts w:ascii="仿宋" w:eastAsia="仿宋" w:hAnsi="仿宋" w:hint="eastAsia"/>
          <w:sz w:val="32"/>
          <w:szCs w:val="32"/>
        </w:rPr>
        <w:t>11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82</w:t>
      </w:r>
      <w:r w:rsidRPr="00E7206A">
        <w:rPr>
          <w:rFonts w:ascii="仿宋" w:eastAsia="仿宋" w:hAnsi="仿宋" w:hint="eastAsia"/>
          <w:sz w:val="32"/>
          <w:szCs w:val="32"/>
        </w:rPr>
        <w:t>平方米。年末城市道路总长度7</w:t>
      </w:r>
      <w:r w:rsidR="00E01DB5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千米，道路总面积</w:t>
      </w:r>
      <w:r w:rsidR="00E01DB5">
        <w:rPr>
          <w:rFonts w:ascii="仿宋" w:eastAsia="仿宋" w:hAnsi="仿宋" w:hint="eastAsia"/>
          <w:sz w:val="32"/>
          <w:szCs w:val="32"/>
        </w:rPr>
        <w:t>104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26</w:t>
      </w:r>
      <w:r w:rsidRPr="00E7206A">
        <w:rPr>
          <w:rFonts w:ascii="仿宋" w:eastAsia="仿宋" w:hAnsi="仿宋" w:hint="eastAsia"/>
          <w:sz w:val="32"/>
          <w:szCs w:val="32"/>
        </w:rPr>
        <w:t>万平方米，便道面积</w:t>
      </w:r>
      <w:r w:rsidR="00F37EE7" w:rsidRPr="00E7206A">
        <w:rPr>
          <w:rFonts w:ascii="仿宋" w:eastAsia="仿宋" w:hAnsi="仿宋" w:hint="eastAsia"/>
          <w:sz w:val="32"/>
          <w:szCs w:val="32"/>
        </w:rPr>
        <w:t>33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22</w:t>
      </w:r>
      <w:r w:rsidRPr="00E7206A">
        <w:rPr>
          <w:rFonts w:ascii="仿宋" w:eastAsia="仿宋" w:hAnsi="仿宋" w:hint="eastAsia"/>
          <w:sz w:val="32"/>
          <w:szCs w:val="32"/>
        </w:rPr>
        <w:t>万平方米。排水管道</w:t>
      </w:r>
      <w:r w:rsidR="00F37EE7" w:rsidRPr="00E7206A">
        <w:rPr>
          <w:rFonts w:ascii="仿宋" w:eastAsia="仿宋" w:hAnsi="仿宋" w:hint="eastAsia"/>
          <w:sz w:val="32"/>
          <w:szCs w:val="32"/>
        </w:rPr>
        <w:t>6</w:t>
      </w:r>
      <w:r w:rsidR="00E01DB5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2</w:t>
      </w:r>
      <w:r w:rsidR="00F37EE7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千米。全县现有水厂1</w:t>
      </w:r>
      <w:r w:rsidR="00E01DB5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座，其中：乡镇</w:t>
      </w:r>
      <w:r w:rsidR="00E01DB5">
        <w:rPr>
          <w:rFonts w:ascii="仿宋" w:eastAsia="仿宋" w:hAnsi="仿宋" w:hint="eastAsia"/>
          <w:sz w:val="32"/>
          <w:szCs w:val="32"/>
        </w:rPr>
        <w:t>11</w:t>
      </w:r>
      <w:r w:rsidRPr="00E7206A">
        <w:rPr>
          <w:rFonts w:ascii="仿宋" w:eastAsia="仿宋" w:hAnsi="仿宋" w:hint="eastAsia"/>
          <w:sz w:val="32"/>
          <w:szCs w:val="32"/>
        </w:rPr>
        <w:t>座，县城</w:t>
      </w:r>
      <w:r w:rsidR="00E01DB5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座。1</w:t>
      </w:r>
      <w:r w:rsidR="00E01DB5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座水厂全年供水量达</w:t>
      </w:r>
      <w:r w:rsidR="00E01DB5">
        <w:rPr>
          <w:rFonts w:ascii="仿宋" w:eastAsia="仿宋" w:hAnsi="仿宋" w:hint="eastAsia"/>
          <w:sz w:val="32"/>
          <w:szCs w:val="32"/>
        </w:rPr>
        <w:t>588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01DB5">
        <w:rPr>
          <w:rFonts w:ascii="仿宋" w:eastAsia="仿宋" w:hAnsi="仿宋" w:hint="eastAsia"/>
          <w:sz w:val="32"/>
          <w:szCs w:val="32"/>
        </w:rPr>
        <w:t>59</w:t>
      </w:r>
      <w:r w:rsidRPr="00E7206A">
        <w:rPr>
          <w:rFonts w:ascii="仿宋" w:eastAsia="仿宋" w:hAnsi="仿宋" w:hint="eastAsia"/>
          <w:sz w:val="32"/>
          <w:szCs w:val="32"/>
        </w:rPr>
        <w:t>万立方米。</w:t>
      </w:r>
    </w:p>
    <w:p w:rsidR="00F52744" w:rsidRPr="00E7206A" w:rsidRDefault="009E6FC6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GoBack"/>
      <w:r w:rsidRPr="009E6FC6">
        <w:rPr>
          <w:rFonts w:ascii="仿宋" w:eastAsia="仿宋" w:hAnsi="仿宋" w:hint="eastAsia"/>
          <w:sz w:val="32"/>
          <w:szCs w:val="32"/>
        </w:rPr>
        <w:t>2020年，全县PM2.5浓度均值为50微克/立方米，同比下降2.0%；空气质量综合指数为5.37，同比下降7.57%；优良天数229天，比2019年增加27天,空气质量达标率62.57%；重污染天数14天，比2019年减少8天，重污染比率3.82%。</w:t>
      </w:r>
    </w:p>
    <w:bookmarkEnd w:id="1"/>
    <w:p w:rsidR="00774460" w:rsidRPr="00E7206A" w:rsidRDefault="00F52744" w:rsidP="009E6FC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/>
          <w:sz w:val="32"/>
          <w:szCs w:val="32"/>
        </w:rPr>
        <w:t>20</w:t>
      </w:r>
      <w:r w:rsidR="007E06B8">
        <w:rPr>
          <w:rFonts w:ascii="仿宋" w:eastAsia="仿宋" w:hAnsi="仿宋" w:hint="eastAsia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年，全县气象灾害发生的频率接近</w:t>
      </w:r>
      <w:r w:rsidRPr="00E7206A">
        <w:rPr>
          <w:rFonts w:ascii="仿宋" w:eastAsia="仿宋" w:hAnsi="仿宋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世纪</w:t>
      </w:r>
      <w:r w:rsidRPr="00E7206A">
        <w:rPr>
          <w:rFonts w:ascii="仿宋" w:eastAsia="仿宋" w:hAnsi="仿宋"/>
          <w:sz w:val="32"/>
          <w:szCs w:val="32"/>
        </w:rPr>
        <w:t>90</w:t>
      </w:r>
      <w:r w:rsidRPr="00E7206A">
        <w:rPr>
          <w:rFonts w:ascii="仿宋" w:eastAsia="仿宋" w:hAnsi="仿宋" w:hint="eastAsia"/>
          <w:sz w:val="32"/>
          <w:szCs w:val="32"/>
        </w:rPr>
        <w:t>年代以来的平均水平，属于“中等”年份；气候年景属于“一般”年份。从降水量看，全县平均降水量为</w:t>
      </w:r>
      <w:r w:rsidR="007E06B8">
        <w:rPr>
          <w:rFonts w:ascii="仿宋" w:eastAsia="仿宋" w:hAnsi="仿宋" w:hint="eastAsia"/>
          <w:sz w:val="32"/>
          <w:szCs w:val="32"/>
        </w:rPr>
        <w:t>52</w:t>
      </w:r>
      <w:r w:rsidR="00553F77" w:rsidRPr="00E7206A">
        <w:rPr>
          <w:rFonts w:ascii="仿宋" w:eastAsia="仿宋" w:hAnsi="仿宋" w:hint="eastAsia"/>
          <w:sz w:val="32"/>
          <w:szCs w:val="32"/>
        </w:rPr>
        <w:t>8</w:t>
      </w:r>
      <w:r w:rsidR="007E06B8">
        <w:rPr>
          <w:rFonts w:ascii="仿宋" w:eastAsia="仿宋" w:hAnsi="仿宋" w:hint="eastAsia"/>
          <w:sz w:val="32"/>
          <w:szCs w:val="32"/>
        </w:rPr>
        <w:t>.0</w:t>
      </w:r>
      <w:r w:rsidRPr="00E7206A">
        <w:rPr>
          <w:rFonts w:ascii="仿宋" w:eastAsia="仿宋" w:hAnsi="仿宋" w:hint="eastAsia"/>
          <w:sz w:val="32"/>
          <w:szCs w:val="32"/>
        </w:rPr>
        <w:t>毫米，比常年（</w:t>
      </w:r>
      <w:r w:rsidRPr="00E7206A">
        <w:rPr>
          <w:rFonts w:ascii="仿宋" w:eastAsia="仿宋" w:hAnsi="仿宋"/>
          <w:sz w:val="32"/>
          <w:szCs w:val="32"/>
        </w:rPr>
        <w:t>487.7</w:t>
      </w:r>
      <w:r w:rsidR="00553F77" w:rsidRPr="00E7206A">
        <w:rPr>
          <w:rFonts w:ascii="仿宋" w:eastAsia="仿宋" w:hAnsi="仿宋" w:hint="eastAsia"/>
          <w:sz w:val="32"/>
          <w:szCs w:val="32"/>
        </w:rPr>
        <w:t>毫米）</w:t>
      </w:r>
      <w:r w:rsidR="007E06B8" w:rsidRPr="00E7206A">
        <w:rPr>
          <w:rFonts w:ascii="仿宋" w:eastAsia="仿宋" w:hAnsi="仿宋" w:hint="eastAsia"/>
          <w:sz w:val="32"/>
          <w:szCs w:val="32"/>
        </w:rPr>
        <w:t>偏多</w:t>
      </w:r>
      <w:r w:rsidR="00553F77" w:rsidRPr="00E7206A">
        <w:rPr>
          <w:rFonts w:ascii="仿宋" w:eastAsia="仿宋" w:hAnsi="仿宋" w:hint="eastAsia"/>
          <w:sz w:val="32"/>
          <w:szCs w:val="32"/>
        </w:rPr>
        <w:t>4</w:t>
      </w:r>
      <w:r w:rsidR="007E06B8">
        <w:rPr>
          <w:rFonts w:ascii="仿宋" w:eastAsia="仿宋" w:hAnsi="仿宋" w:hint="eastAsia"/>
          <w:sz w:val="32"/>
          <w:szCs w:val="32"/>
        </w:rPr>
        <w:t>0</w:t>
      </w:r>
      <w:r w:rsidR="001C5BBE" w:rsidRPr="00E7206A">
        <w:rPr>
          <w:rFonts w:ascii="仿宋" w:eastAsia="仿宋" w:hAnsi="仿宋" w:hint="eastAsia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/>
          <w:sz w:val="32"/>
          <w:szCs w:val="32"/>
        </w:rPr>
        <w:t>%</w:t>
      </w:r>
      <w:r w:rsidRPr="00E7206A">
        <w:rPr>
          <w:rFonts w:ascii="仿宋" w:eastAsia="仿宋" w:hAnsi="仿宋" w:hint="eastAsia"/>
          <w:sz w:val="32"/>
          <w:szCs w:val="32"/>
        </w:rPr>
        <w:t>，属于降水</w:t>
      </w:r>
      <w:r w:rsidR="00F37EE7" w:rsidRPr="00E7206A">
        <w:rPr>
          <w:rFonts w:ascii="仿宋" w:eastAsia="仿宋" w:hAnsi="仿宋" w:hint="eastAsia"/>
          <w:sz w:val="32"/>
          <w:szCs w:val="32"/>
        </w:rPr>
        <w:t>异常</w:t>
      </w:r>
      <w:r w:rsidR="00553F77" w:rsidRPr="00E7206A">
        <w:rPr>
          <w:rFonts w:ascii="仿宋" w:eastAsia="仿宋" w:hAnsi="仿宋" w:hint="eastAsia"/>
          <w:sz w:val="32"/>
          <w:szCs w:val="32"/>
        </w:rPr>
        <w:t>偏</w:t>
      </w:r>
      <w:r w:rsidR="007E06B8" w:rsidRPr="00E7206A">
        <w:rPr>
          <w:rFonts w:ascii="仿宋" w:eastAsia="仿宋" w:hAnsi="仿宋" w:hint="eastAsia"/>
          <w:sz w:val="32"/>
          <w:szCs w:val="32"/>
        </w:rPr>
        <w:t>多</w:t>
      </w:r>
      <w:r w:rsidRPr="00E7206A">
        <w:rPr>
          <w:rFonts w:ascii="仿宋" w:eastAsia="仿宋" w:hAnsi="仿宋" w:hint="eastAsia"/>
          <w:sz w:val="32"/>
          <w:szCs w:val="32"/>
        </w:rPr>
        <w:t>年份。从气温看，平均气温为</w:t>
      </w:r>
      <w:r w:rsidR="001C5BBE" w:rsidRPr="00E7206A">
        <w:rPr>
          <w:rFonts w:ascii="仿宋" w:eastAsia="仿宋" w:hAnsi="仿宋"/>
          <w:sz w:val="32"/>
          <w:szCs w:val="32"/>
        </w:rPr>
        <w:t>1</w:t>
      </w:r>
      <w:r w:rsidR="00553F77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℃，较常年（</w:t>
      </w:r>
      <w:r w:rsidRPr="00E7206A">
        <w:rPr>
          <w:rFonts w:ascii="仿宋" w:eastAsia="仿宋" w:hAnsi="仿宋"/>
          <w:sz w:val="32"/>
          <w:szCs w:val="32"/>
        </w:rPr>
        <w:t>12.0</w:t>
      </w:r>
      <w:r w:rsidRPr="00E7206A">
        <w:rPr>
          <w:rFonts w:ascii="仿宋" w:eastAsia="仿宋" w:hAnsi="仿宋" w:hint="eastAsia"/>
          <w:sz w:val="32"/>
          <w:szCs w:val="32"/>
        </w:rPr>
        <w:t>℃）偏高</w:t>
      </w:r>
      <w:r w:rsidR="00553F77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℃，属于气温偏高年份。从日照时数看，平均日照时数</w:t>
      </w:r>
      <w:r w:rsidR="007E06B8">
        <w:rPr>
          <w:rFonts w:ascii="仿宋" w:eastAsia="仿宋" w:hAnsi="仿宋" w:hint="eastAsia"/>
          <w:sz w:val="32"/>
          <w:szCs w:val="32"/>
        </w:rPr>
        <w:t>3313</w:t>
      </w:r>
      <w:r w:rsidRPr="00E7206A">
        <w:rPr>
          <w:rFonts w:ascii="仿宋" w:eastAsia="仿宋" w:hAnsi="仿宋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小时，比常年（</w:t>
      </w:r>
      <w:r w:rsidRPr="00E7206A">
        <w:rPr>
          <w:rFonts w:ascii="仿宋" w:eastAsia="仿宋" w:hAnsi="仿宋"/>
          <w:sz w:val="32"/>
          <w:szCs w:val="32"/>
        </w:rPr>
        <w:t>23</w:t>
      </w:r>
      <w:r w:rsidR="007E06B8">
        <w:rPr>
          <w:rFonts w:ascii="仿宋" w:eastAsia="仿宋" w:hAnsi="仿宋" w:hint="eastAsia"/>
          <w:sz w:val="32"/>
          <w:szCs w:val="32"/>
        </w:rPr>
        <w:t>29</w:t>
      </w:r>
      <w:r w:rsidRPr="00E7206A">
        <w:rPr>
          <w:rFonts w:ascii="仿宋" w:eastAsia="仿宋" w:hAnsi="仿宋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小时）偏</w:t>
      </w:r>
      <w:r w:rsidR="00553F77" w:rsidRPr="00E7206A">
        <w:rPr>
          <w:rFonts w:ascii="仿宋" w:eastAsia="仿宋" w:hAnsi="仿宋" w:hint="eastAsia"/>
          <w:sz w:val="32"/>
          <w:szCs w:val="32"/>
        </w:rPr>
        <w:t>多</w:t>
      </w:r>
      <w:r w:rsidR="007E06B8">
        <w:rPr>
          <w:rFonts w:ascii="仿宋" w:eastAsia="仿宋" w:hAnsi="仿宋" w:hint="eastAsia"/>
          <w:sz w:val="32"/>
          <w:szCs w:val="32"/>
        </w:rPr>
        <w:t>983</w:t>
      </w:r>
      <w:r w:rsidRPr="00E7206A">
        <w:rPr>
          <w:rFonts w:ascii="仿宋" w:eastAsia="仿宋" w:hAnsi="仿宋"/>
          <w:sz w:val="32"/>
          <w:szCs w:val="32"/>
        </w:rPr>
        <w:t>.</w:t>
      </w:r>
      <w:r w:rsidR="007E06B8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小时，属于日照偏</w:t>
      </w:r>
      <w:r w:rsidR="00553F77" w:rsidRPr="00E7206A">
        <w:rPr>
          <w:rFonts w:ascii="仿宋" w:eastAsia="仿宋" w:hAnsi="仿宋" w:hint="eastAsia"/>
          <w:sz w:val="32"/>
          <w:szCs w:val="32"/>
        </w:rPr>
        <w:t>多</w:t>
      </w:r>
      <w:r w:rsidRPr="00E7206A">
        <w:rPr>
          <w:rFonts w:ascii="仿宋" w:eastAsia="仿宋" w:hAnsi="仿宋" w:hint="eastAsia"/>
          <w:sz w:val="32"/>
          <w:szCs w:val="32"/>
        </w:rPr>
        <w:t>年份。</w:t>
      </w:r>
    </w:p>
    <w:p w:rsidR="00034A48" w:rsidRPr="00E7206A" w:rsidRDefault="00034A48" w:rsidP="00524945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</w:p>
    <w:p w:rsidR="00524945" w:rsidRPr="00E7206A" w:rsidRDefault="00524945" w:rsidP="00034A48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7206A">
        <w:rPr>
          <w:rFonts w:ascii="仿宋" w:eastAsia="仿宋" w:hAnsi="仿宋" w:hint="eastAsia"/>
          <w:b/>
          <w:sz w:val="28"/>
          <w:szCs w:val="28"/>
        </w:rPr>
        <w:t>注释：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1、本公报中20</w:t>
      </w:r>
      <w:r w:rsidR="009E6FC6">
        <w:rPr>
          <w:rFonts w:ascii="仿宋" w:eastAsia="仿宋" w:hAnsi="仿宋" w:hint="eastAsia"/>
          <w:sz w:val="28"/>
          <w:szCs w:val="28"/>
        </w:rPr>
        <w:t>20</w:t>
      </w:r>
      <w:r w:rsidRPr="00E7206A">
        <w:rPr>
          <w:rFonts w:ascii="仿宋" w:eastAsia="仿宋" w:hAnsi="仿宋" w:hint="eastAsia"/>
          <w:sz w:val="28"/>
          <w:szCs w:val="28"/>
        </w:rPr>
        <w:t>年数据为快报数，部分数据合计数或相对数因四舍五入，存在着与分项合计不等的情况。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2、生产总值及各产业增加值绝对值按新的三次产业划分口径（农林牧渔服务业；开采辅助活动；金属制品、机械和设备修理业划归第三产业）的现行价格计算，增长速度按不变价格计算。人均地区生产</w:t>
      </w:r>
      <w:r w:rsidRPr="00E7206A">
        <w:rPr>
          <w:rFonts w:ascii="仿宋" w:eastAsia="仿宋" w:hAnsi="仿宋" w:hint="eastAsia"/>
          <w:sz w:val="28"/>
          <w:szCs w:val="28"/>
        </w:rPr>
        <w:lastRenderedPageBreak/>
        <w:t>总值按年平均常住人口计算。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3、“农业”中农林牧渔业产值及增加值均含农业、林业、牧业、渔业及农林牧渔服务业产值及增加值。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4、年末生猪存栏、全年生猪出栏、全年猪肉产量数据均取自国家统计局河北调查总队核定后的《20</w:t>
      </w:r>
      <w:r w:rsidR="009E6FC6">
        <w:rPr>
          <w:rFonts w:ascii="仿宋" w:eastAsia="仿宋" w:hAnsi="仿宋" w:hint="eastAsia"/>
          <w:sz w:val="28"/>
          <w:szCs w:val="28"/>
        </w:rPr>
        <w:t>20</w:t>
      </w:r>
      <w:r w:rsidRPr="00E7206A">
        <w:rPr>
          <w:rFonts w:ascii="仿宋" w:eastAsia="仿宋" w:hAnsi="仿宋" w:hint="eastAsia"/>
          <w:sz w:val="28"/>
          <w:szCs w:val="28"/>
        </w:rPr>
        <w:t>年生猪调出大县主要指标核定数》。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5、纳入规模以上工业统计范围的工业企业起点标准为年主营业务收入2000万元。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6、固定资产投资统计的起点标准为计划总投资500万元。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7、房地产业投资除房地产开发投资外，还包括建设单位自建房屋以及物业管理、中介服务和其他房地产投资。</w:t>
      </w:r>
    </w:p>
    <w:p w:rsidR="00524945" w:rsidRPr="00034A48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8、财政、金融、交通、邮电、教育、科技、卫生、文体、社会保障、人口、旅游、城建、环保、气象等数据取自各相关部门。</w:t>
      </w:r>
    </w:p>
    <w:p w:rsidR="00524945" w:rsidRDefault="00524945" w:rsidP="00524945">
      <w:pPr>
        <w:ind w:firstLineChars="200" w:firstLine="420"/>
      </w:pPr>
    </w:p>
    <w:sectPr w:rsidR="00524945" w:rsidSect="0077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15" w:rsidRDefault="00351715" w:rsidP="001C5BBE">
      <w:r>
        <w:separator/>
      </w:r>
    </w:p>
  </w:endnote>
  <w:endnote w:type="continuationSeparator" w:id="0">
    <w:p w:rsidR="00351715" w:rsidRDefault="00351715" w:rsidP="001C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15" w:rsidRDefault="00351715" w:rsidP="001C5BBE">
      <w:r>
        <w:separator/>
      </w:r>
    </w:p>
  </w:footnote>
  <w:footnote w:type="continuationSeparator" w:id="0">
    <w:p w:rsidR="00351715" w:rsidRDefault="00351715" w:rsidP="001C5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44"/>
    <w:rsid w:val="00004D41"/>
    <w:rsid w:val="00005B11"/>
    <w:rsid w:val="00006216"/>
    <w:rsid w:val="0001766C"/>
    <w:rsid w:val="00021454"/>
    <w:rsid w:val="00022BA8"/>
    <w:rsid w:val="0003068A"/>
    <w:rsid w:val="00034A48"/>
    <w:rsid w:val="00050243"/>
    <w:rsid w:val="00071267"/>
    <w:rsid w:val="0007342B"/>
    <w:rsid w:val="00073697"/>
    <w:rsid w:val="00080000"/>
    <w:rsid w:val="00080565"/>
    <w:rsid w:val="000C2E20"/>
    <w:rsid w:val="000D15AF"/>
    <w:rsid w:val="000E1FA4"/>
    <w:rsid w:val="000E4AFF"/>
    <w:rsid w:val="00137D1F"/>
    <w:rsid w:val="00141285"/>
    <w:rsid w:val="00141F44"/>
    <w:rsid w:val="00142623"/>
    <w:rsid w:val="0014564D"/>
    <w:rsid w:val="001542E8"/>
    <w:rsid w:val="00177949"/>
    <w:rsid w:val="0018056D"/>
    <w:rsid w:val="0018332B"/>
    <w:rsid w:val="001860A4"/>
    <w:rsid w:val="00195A49"/>
    <w:rsid w:val="001A5F23"/>
    <w:rsid w:val="001C5BBE"/>
    <w:rsid w:val="001C7EAF"/>
    <w:rsid w:val="001D4BB1"/>
    <w:rsid w:val="001D6CC2"/>
    <w:rsid w:val="001F40E7"/>
    <w:rsid w:val="00203E11"/>
    <w:rsid w:val="002122CC"/>
    <w:rsid w:val="0026413B"/>
    <w:rsid w:val="002750A4"/>
    <w:rsid w:val="002776A0"/>
    <w:rsid w:val="00281AA1"/>
    <w:rsid w:val="002C2A27"/>
    <w:rsid w:val="002D2817"/>
    <w:rsid w:val="00306B16"/>
    <w:rsid w:val="00316C1E"/>
    <w:rsid w:val="003177CB"/>
    <w:rsid w:val="00324F3A"/>
    <w:rsid w:val="00351715"/>
    <w:rsid w:val="0036571F"/>
    <w:rsid w:val="003805BC"/>
    <w:rsid w:val="00394EBD"/>
    <w:rsid w:val="00396E37"/>
    <w:rsid w:val="003C0FFB"/>
    <w:rsid w:val="003D093B"/>
    <w:rsid w:val="00405191"/>
    <w:rsid w:val="004141A7"/>
    <w:rsid w:val="004228B5"/>
    <w:rsid w:val="00422CBB"/>
    <w:rsid w:val="004251CD"/>
    <w:rsid w:val="0042667C"/>
    <w:rsid w:val="00435959"/>
    <w:rsid w:val="0045105F"/>
    <w:rsid w:val="00452DED"/>
    <w:rsid w:val="00463DAB"/>
    <w:rsid w:val="00466145"/>
    <w:rsid w:val="004678C9"/>
    <w:rsid w:val="0047083F"/>
    <w:rsid w:val="00485A7A"/>
    <w:rsid w:val="004B3DF5"/>
    <w:rsid w:val="004B48AE"/>
    <w:rsid w:val="004B794B"/>
    <w:rsid w:val="004C183A"/>
    <w:rsid w:val="004C2EE8"/>
    <w:rsid w:val="004D5BF4"/>
    <w:rsid w:val="004E19E9"/>
    <w:rsid w:val="004F15EA"/>
    <w:rsid w:val="004F39F0"/>
    <w:rsid w:val="004F7B86"/>
    <w:rsid w:val="0050370D"/>
    <w:rsid w:val="00505F74"/>
    <w:rsid w:val="00521887"/>
    <w:rsid w:val="00523762"/>
    <w:rsid w:val="00524945"/>
    <w:rsid w:val="005365CF"/>
    <w:rsid w:val="00553F77"/>
    <w:rsid w:val="005722BA"/>
    <w:rsid w:val="00575EA4"/>
    <w:rsid w:val="005811AB"/>
    <w:rsid w:val="00585ECB"/>
    <w:rsid w:val="005A5B26"/>
    <w:rsid w:val="005B1D8E"/>
    <w:rsid w:val="005D47D8"/>
    <w:rsid w:val="005D55DC"/>
    <w:rsid w:val="005E04B7"/>
    <w:rsid w:val="005E7CC8"/>
    <w:rsid w:val="0061686C"/>
    <w:rsid w:val="00627266"/>
    <w:rsid w:val="0063181B"/>
    <w:rsid w:val="006536C5"/>
    <w:rsid w:val="00660CAE"/>
    <w:rsid w:val="00675644"/>
    <w:rsid w:val="00675EDA"/>
    <w:rsid w:val="006977AC"/>
    <w:rsid w:val="006D099E"/>
    <w:rsid w:val="006D2BD4"/>
    <w:rsid w:val="006D4B68"/>
    <w:rsid w:val="006D7425"/>
    <w:rsid w:val="006F1993"/>
    <w:rsid w:val="00701C72"/>
    <w:rsid w:val="00754743"/>
    <w:rsid w:val="00756C28"/>
    <w:rsid w:val="007625CD"/>
    <w:rsid w:val="00766E30"/>
    <w:rsid w:val="00774460"/>
    <w:rsid w:val="00793A44"/>
    <w:rsid w:val="007A0BA3"/>
    <w:rsid w:val="007E06B8"/>
    <w:rsid w:val="007E6421"/>
    <w:rsid w:val="007F10F3"/>
    <w:rsid w:val="007F3742"/>
    <w:rsid w:val="008153C0"/>
    <w:rsid w:val="008531A0"/>
    <w:rsid w:val="0085752C"/>
    <w:rsid w:val="008629B4"/>
    <w:rsid w:val="00887D8A"/>
    <w:rsid w:val="00896829"/>
    <w:rsid w:val="008B428C"/>
    <w:rsid w:val="008C2A3C"/>
    <w:rsid w:val="008D146E"/>
    <w:rsid w:val="008D3AA5"/>
    <w:rsid w:val="008E2790"/>
    <w:rsid w:val="008E6599"/>
    <w:rsid w:val="00906110"/>
    <w:rsid w:val="0092143C"/>
    <w:rsid w:val="00922A46"/>
    <w:rsid w:val="00932CEE"/>
    <w:rsid w:val="00935B6D"/>
    <w:rsid w:val="0094168B"/>
    <w:rsid w:val="00975EB5"/>
    <w:rsid w:val="00981B57"/>
    <w:rsid w:val="00996610"/>
    <w:rsid w:val="009B3105"/>
    <w:rsid w:val="009C0996"/>
    <w:rsid w:val="009D314F"/>
    <w:rsid w:val="009E49D1"/>
    <w:rsid w:val="009E6FC6"/>
    <w:rsid w:val="00A22D0B"/>
    <w:rsid w:val="00A27199"/>
    <w:rsid w:val="00A624E8"/>
    <w:rsid w:val="00A913E7"/>
    <w:rsid w:val="00AB61D0"/>
    <w:rsid w:val="00AB6E6B"/>
    <w:rsid w:val="00AC650A"/>
    <w:rsid w:val="00AD6F32"/>
    <w:rsid w:val="00AE1673"/>
    <w:rsid w:val="00AF6FE7"/>
    <w:rsid w:val="00B03DE1"/>
    <w:rsid w:val="00B0680C"/>
    <w:rsid w:val="00B107F4"/>
    <w:rsid w:val="00B13DDF"/>
    <w:rsid w:val="00B47778"/>
    <w:rsid w:val="00B66F6E"/>
    <w:rsid w:val="00B858C0"/>
    <w:rsid w:val="00BA04AB"/>
    <w:rsid w:val="00BB20BF"/>
    <w:rsid w:val="00BB44BC"/>
    <w:rsid w:val="00BB5819"/>
    <w:rsid w:val="00BD718C"/>
    <w:rsid w:val="00BD7261"/>
    <w:rsid w:val="00BE5E58"/>
    <w:rsid w:val="00BF148D"/>
    <w:rsid w:val="00BF1BE1"/>
    <w:rsid w:val="00BF3111"/>
    <w:rsid w:val="00C205C6"/>
    <w:rsid w:val="00C406E3"/>
    <w:rsid w:val="00C40AE9"/>
    <w:rsid w:val="00C54A0D"/>
    <w:rsid w:val="00C54BE0"/>
    <w:rsid w:val="00C643C3"/>
    <w:rsid w:val="00C654F3"/>
    <w:rsid w:val="00C7140D"/>
    <w:rsid w:val="00C80DE9"/>
    <w:rsid w:val="00C91E76"/>
    <w:rsid w:val="00CA035E"/>
    <w:rsid w:val="00CA2400"/>
    <w:rsid w:val="00CC0D88"/>
    <w:rsid w:val="00CC676A"/>
    <w:rsid w:val="00CC6885"/>
    <w:rsid w:val="00CD350F"/>
    <w:rsid w:val="00CE638F"/>
    <w:rsid w:val="00CF0BC5"/>
    <w:rsid w:val="00D21B18"/>
    <w:rsid w:val="00D47832"/>
    <w:rsid w:val="00D55286"/>
    <w:rsid w:val="00D679CE"/>
    <w:rsid w:val="00D855F6"/>
    <w:rsid w:val="00D94EE5"/>
    <w:rsid w:val="00DB2ABC"/>
    <w:rsid w:val="00DB7CE9"/>
    <w:rsid w:val="00DC1F4A"/>
    <w:rsid w:val="00DD2762"/>
    <w:rsid w:val="00DD694A"/>
    <w:rsid w:val="00E00F47"/>
    <w:rsid w:val="00E01DB5"/>
    <w:rsid w:val="00E218F9"/>
    <w:rsid w:val="00E22B5B"/>
    <w:rsid w:val="00E27114"/>
    <w:rsid w:val="00E35DD8"/>
    <w:rsid w:val="00E6670E"/>
    <w:rsid w:val="00E7206A"/>
    <w:rsid w:val="00E77BBC"/>
    <w:rsid w:val="00E80C28"/>
    <w:rsid w:val="00E8596A"/>
    <w:rsid w:val="00E95FFC"/>
    <w:rsid w:val="00EA6719"/>
    <w:rsid w:val="00EB7EBD"/>
    <w:rsid w:val="00EC05D5"/>
    <w:rsid w:val="00EC5B6F"/>
    <w:rsid w:val="00F344D8"/>
    <w:rsid w:val="00F37EE7"/>
    <w:rsid w:val="00F40A04"/>
    <w:rsid w:val="00F4381F"/>
    <w:rsid w:val="00F5127E"/>
    <w:rsid w:val="00F5253A"/>
    <w:rsid w:val="00F52744"/>
    <w:rsid w:val="00F52855"/>
    <w:rsid w:val="00F54A1D"/>
    <w:rsid w:val="00F87328"/>
    <w:rsid w:val="00F9094E"/>
    <w:rsid w:val="00FA20BB"/>
    <w:rsid w:val="00FD0515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314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31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31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D31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D314F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314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31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314F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D31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D314F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F527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74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5B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5BB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42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/>
              <a:t>图</a:t>
            </a:r>
            <a:r>
              <a:rPr lang="en-US" altLang="zh-CN" sz="1400"/>
              <a:t>1  2015-2020</a:t>
            </a:r>
            <a:r>
              <a:rPr lang="zh-CN" altLang="en-US" sz="1400"/>
              <a:t>年全县地区生产总值总量及增速</a:t>
            </a:r>
          </a:p>
        </c:rich>
      </c:tx>
      <c:layout>
        <c:manualLayout>
          <c:xMode val="edge"/>
          <c:yMode val="edge"/>
          <c:x val="0.23636642622469395"/>
          <c:y val="3.74760755855638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0547550432276716"/>
          <c:y val="0.24614016347306544"/>
          <c:w val="0.70461144675584764"/>
          <c:h val="0.45762838108111836"/>
        </c:manualLayout>
      </c:layout>
      <c:barChart>
        <c:barDir val="col"/>
        <c:grouping val="clustered"/>
        <c:ser>
          <c:idx val="1"/>
          <c:order val="0"/>
          <c:tx>
            <c:strRef>
              <c:f>GDP总量及增速!$A$4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GDP总量及增速!$B$3:$G$3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GDP总量及增速!$B$4:$G$4</c:f>
              <c:numCache>
                <c:formatCode>General</c:formatCode>
                <c:ptCount val="6"/>
                <c:pt idx="0">
                  <c:v>99.6</c:v>
                </c:pt>
                <c:pt idx="1">
                  <c:v>130.80000000000001</c:v>
                </c:pt>
                <c:pt idx="2">
                  <c:v>145.9</c:v>
                </c:pt>
                <c:pt idx="3">
                  <c:v>182.3</c:v>
                </c:pt>
                <c:pt idx="4">
                  <c:v>204.5</c:v>
                </c:pt>
                <c:pt idx="5">
                  <c:v>220.1</c:v>
                </c:pt>
              </c:numCache>
            </c:numRef>
          </c:val>
        </c:ser>
        <c:axId val="48788608"/>
        <c:axId val="48829952"/>
      </c:barChart>
      <c:lineChart>
        <c:grouping val="standard"/>
        <c:ser>
          <c:idx val="0"/>
          <c:order val="1"/>
          <c:tx>
            <c:strRef>
              <c:f>GDP总量及增速!$A$5</c:f>
              <c:strCache>
                <c:ptCount val="1"/>
                <c:pt idx="0">
                  <c:v>增速（%）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GDP总量及增速!$B$3:$G$3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GDP总量及增速!$B$5:$G$5</c:f>
              <c:numCache>
                <c:formatCode>0.0_ </c:formatCode>
                <c:ptCount val="6"/>
                <c:pt idx="0">
                  <c:v>7.9</c:v>
                </c:pt>
                <c:pt idx="1">
                  <c:v>7.1</c:v>
                </c:pt>
                <c:pt idx="2">
                  <c:v>9.4</c:v>
                </c:pt>
                <c:pt idx="3">
                  <c:v>8.1</c:v>
                </c:pt>
                <c:pt idx="4">
                  <c:v>6.8</c:v>
                </c:pt>
                <c:pt idx="5">
                  <c:v>7.6</c:v>
                </c:pt>
              </c:numCache>
            </c:numRef>
          </c:val>
        </c:ser>
        <c:marker val="1"/>
        <c:axId val="48865664"/>
        <c:axId val="48868352"/>
      </c:lineChart>
      <c:catAx>
        <c:axId val="48788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0.16714718352513658"/>
              <c:y val="0.1114195048659297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48829952"/>
        <c:crosses val="autoZero"/>
        <c:lblAlgn val="ctr"/>
        <c:lblOffset val="100"/>
      </c:catAx>
      <c:valAx>
        <c:axId val="48829952"/>
        <c:scaling>
          <c:orientation val="minMax"/>
        </c:scaling>
        <c:axPos val="l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48788608"/>
        <c:crosses val="autoZero"/>
        <c:crossBetween val="between"/>
      </c:valAx>
      <c:catAx>
        <c:axId val="4886566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4956826900133895"/>
              <c:y val="0.10491879726435613"/>
            </c:manualLayout>
          </c:layout>
          <c:spPr>
            <a:noFill/>
            <a:ln w="25400">
              <a:noFill/>
            </a:ln>
          </c:spPr>
        </c:title>
        <c:tickLblPos val="none"/>
        <c:crossAx val="48868352"/>
        <c:crosses val="autoZero"/>
        <c:lblAlgn val="ctr"/>
        <c:lblOffset val="100"/>
      </c:catAx>
      <c:valAx>
        <c:axId val="48868352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48865664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2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年全县三次产业增加值比重</a:t>
            </a:r>
          </a:p>
        </c:rich>
      </c:tx>
      <c:layout>
        <c:manualLayout>
          <c:xMode val="edge"/>
          <c:yMode val="edge"/>
          <c:x val="0.19123602372669923"/>
          <c:y val="4.35317870334082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148288425972062"/>
          <c:y val="0.18895452622412809"/>
          <c:w val="0.8688766920118125"/>
          <c:h val="0.55610972568578565"/>
        </c:manualLayout>
      </c:layout>
      <c:barChart>
        <c:barDir val="col"/>
        <c:grouping val="percentStacked"/>
        <c:ser>
          <c:idx val="0"/>
          <c:order val="0"/>
          <c:tx>
            <c:strRef>
              <c:f>三次产业增加值占比!$A$4</c:f>
              <c:strCache>
                <c:ptCount val="1"/>
                <c:pt idx="0">
                  <c:v>第一产业</c:v>
                </c:pt>
              </c:strCache>
            </c:strRef>
          </c:tx>
          <c:spPr>
            <a:pattFill prst="pct90">
              <a:fgClr>
                <a:srgbClr val="558ED5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三次产业增加值占比!$B$4:$G$4</c:f>
              <c:numCache>
                <c:formatCode>0.0_ </c:formatCode>
                <c:ptCount val="6"/>
                <c:pt idx="0">
                  <c:v>38</c:v>
                </c:pt>
                <c:pt idx="1">
                  <c:v>28.8</c:v>
                </c:pt>
                <c:pt idx="2" formatCode="General">
                  <c:v>31.8</c:v>
                </c:pt>
                <c:pt idx="3" formatCode="General">
                  <c:v>30.1</c:v>
                </c:pt>
                <c:pt idx="4" formatCode="General">
                  <c:v>30.8</c:v>
                </c:pt>
                <c:pt idx="5" formatCode="General">
                  <c:v>30.9</c:v>
                </c:pt>
              </c:numCache>
            </c:numRef>
          </c:val>
        </c:ser>
        <c:ser>
          <c:idx val="1"/>
          <c:order val="1"/>
          <c:tx>
            <c:strRef>
              <c:f>三次产业增加值占比!$A$5</c:f>
              <c:strCache>
                <c:ptCount val="1"/>
                <c:pt idx="0">
                  <c:v>第二产业</c:v>
                </c:pt>
              </c:strCache>
            </c:strRef>
          </c:tx>
          <c:spPr>
            <a:pattFill prst="pct70">
              <a:fgClr>
                <a:srgbClr val="F7964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三次产业增加值占比!$B$5:$G$5</c:f>
              <c:numCache>
                <c:formatCode>0.0_ </c:formatCode>
                <c:ptCount val="6"/>
                <c:pt idx="0">
                  <c:v>29.3</c:v>
                </c:pt>
                <c:pt idx="1">
                  <c:v>23.2</c:v>
                </c:pt>
                <c:pt idx="2" formatCode="General">
                  <c:v>19.3</c:v>
                </c:pt>
                <c:pt idx="3" formatCode="General">
                  <c:v>16.3</c:v>
                </c:pt>
                <c:pt idx="4" formatCode="General">
                  <c:v>20.9</c:v>
                </c:pt>
                <c:pt idx="5" formatCode="General">
                  <c:v>29.4</c:v>
                </c:pt>
              </c:numCache>
            </c:numRef>
          </c:val>
        </c:ser>
        <c:ser>
          <c:idx val="2"/>
          <c:order val="2"/>
          <c:tx>
            <c:strRef>
              <c:f>三次产业增加值占比!$A$6</c:f>
              <c:strCache>
                <c:ptCount val="1"/>
                <c:pt idx="0">
                  <c:v>第三产业</c:v>
                </c:pt>
              </c:strCache>
            </c:strRef>
          </c:tx>
          <c:spPr>
            <a:pattFill prst="pct30">
              <a:fgClr>
                <a:srgbClr val="C4BD97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三次产业增加值占比!$B$6:$G$6</c:f>
              <c:numCache>
                <c:formatCode>0.0_ </c:formatCode>
                <c:ptCount val="6"/>
                <c:pt idx="0">
                  <c:v>32.700000000000003</c:v>
                </c:pt>
                <c:pt idx="1">
                  <c:v>48</c:v>
                </c:pt>
                <c:pt idx="2" formatCode="General">
                  <c:v>48.9</c:v>
                </c:pt>
                <c:pt idx="3" formatCode="General">
                  <c:v>53.6</c:v>
                </c:pt>
                <c:pt idx="4" formatCode="General">
                  <c:v>48.3</c:v>
                </c:pt>
                <c:pt idx="5" formatCode="General">
                  <c:v>49.7</c:v>
                </c:pt>
              </c:numCache>
            </c:numRef>
          </c:val>
        </c:ser>
        <c:overlap val="100"/>
        <c:axId val="108595072"/>
        <c:axId val="108596608"/>
      </c:barChart>
      <c:catAx>
        <c:axId val="108595072"/>
        <c:scaling>
          <c:orientation val="minMax"/>
        </c:scaling>
        <c:axPos val="b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596608"/>
        <c:crosses val="autoZero"/>
        <c:auto val="1"/>
        <c:lblAlgn val="ctr"/>
        <c:lblOffset val="100"/>
        <c:tickLblSkip val="1"/>
      </c:catAx>
      <c:valAx>
        <c:axId val="108596608"/>
        <c:scaling>
          <c:orientation val="minMax"/>
        </c:scaling>
        <c:axPos val="l"/>
        <c:numFmt formatCode="0%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595072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923168694822233"/>
          <c:y val="0.85651785608246933"/>
          <c:w val="0.43659973125368939"/>
          <c:h val="6.4837947292787482E-2"/>
        </c:manualLayout>
      </c:layout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3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年农林牧渔业总产值及增加值</a:t>
            </a:r>
          </a:p>
        </c:rich>
      </c:tx>
      <c:layout>
        <c:manualLayout>
          <c:xMode val="edge"/>
          <c:yMode val="edge"/>
          <c:x val="0.22454323740505891"/>
          <c:y val="5.219780219780221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10813803141884"/>
          <c:y val="0.26556805399325117"/>
          <c:w val="0.82982695747102464"/>
          <c:h val="0.46978084995928804"/>
        </c:manualLayout>
      </c:layout>
      <c:barChart>
        <c:barDir val="col"/>
        <c:grouping val="clustered"/>
        <c:ser>
          <c:idx val="0"/>
          <c:order val="0"/>
          <c:tx>
            <c:strRef>
              <c:f>农林牧渔产值及增加值!$A$4</c:f>
              <c:strCache>
                <c:ptCount val="1"/>
                <c:pt idx="0">
                  <c:v>总产值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农林牧渔产值及增加值!$B$4:$G$4</c:f>
              <c:numCache>
                <c:formatCode>0.0_ </c:formatCode>
                <c:ptCount val="6"/>
                <c:pt idx="0">
                  <c:v>85.6</c:v>
                </c:pt>
                <c:pt idx="1">
                  <c:v>82.8</c:v>
                </c:pt>
                <c:pt idx="2">
                  <c:v>78.2</c:v>
                </c:pt>
                <c:pt idx="3">
                  <c:v>79.400000000000006</c:v>
                </c:pt>
                <c:pt idx="4">
                  <c:v>91.5</c:v>
                </c:pt>
                <c:pt idx="5">
                  <c:v>101.9</c:v>
                </c:pt>
              </c:numCache>
            </c:numRef>
          </c:val>
        </c:ser>
        <c:ser>
          <c:idx val="1"/>
          <c:order val="1"/>
          <c:tx>
            <c:strRef>
              <c:f>农林牧渔产值及增加值!$A$5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农林牧渔产值及增加值!$B$5:$G$5</c:f>
              <c:numCache>
                <c:formatCode>0.0_ </c:formatCode>
                <c:ptCount val="6"/>
                <c:pt idx="0">
                  <c:v>38</c:v>
                </c:pt>
                <c:pt idx="1">
                  <c:v>37.800000000000004</c:v>
                </c:pt>
                <c:pt idx="2">
                  <c:v>52.5</c:v>
                </c:pt>
                <c:pt idx="3">
                  <c:v>55.5</c:v>
                </c:pt>
                <c:pt idx="4">
                  <c:v>63.8</c:v>
                </c:pt>
                <c:pt idx="5">
                  <c:v>69.400000000000006</c:v>
                </c:pt>
              </c:numCache>
            </c:numRef>
          </c:val>
        </c:ser>
        <c:axId val="52164864"/>
        <c:axId val="62005632"/>
      </c:barChart>
      <c:catAx>
        <c:axId val="52164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5.6940824874766774E-2"/>
              <c:y val="0.155677944103140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2005632"/>
        <c:crosses val="autoZero"/>
        <c:auto val="1"/>
        <c:lblAlgn val="ctr"/>
        <c:lblOffset val="100"/>
      </c:catAx>
      <c:valAx>
        <c:axId val="6200563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216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4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年规模以上工业增加值及利税</a:t>
            </a:r>
          </a:p>
        </c:rich>
      </c:tx>
      <c:layout>
        <c:manualLayout>
          <c:xMode val="edge"/>
          <c:yMode val="edge"/>
          <c:x val="0.19164279539241574"/>
          <c:y val="5.82013815437249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247847233997344"/>
          <c:y val="0.25925992905694306"/>
          <c:w val="0.85590838317581464"/>
          <c:h val="0.46031864955008295"/>
        </c:manualLayout>
      </c:layout>
      <c:barChart>
        <c:barDir val="col"/>
        <c:grouping val="clustered"/>
        <c:ser>
          <c:idx val="0"/>
          <c:order val="0"/>
          <c:tx>
            <c:strRef>
              <c:f>规上工业增加值及利税!$A$4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规上工业增加值及利税!$B$4:$G$4</c:f>
              <c:numCache>
                <c:formatCode>0.0_ </c:formatCode>
                <c:ptCount val="6"/>
                <c:pt idx="0">
                  <c:v>14.2</c:v>
                </c:pt>
                <c:pt idx="1">
                  <c:v>15.4</c:v>
                </c:pt>
                <c:pt idx="2">
                  <c:v>17.2</c:v>
                </c:pt>
                <c:pt idx="3">
                  <c:v>18.2</c:v>
                </c:pt>
                <c:pt idx="4">
                  <c:v>23.1</c:v>
                </c:pt>
                <c:pt idx="5">
                  <c:v>20.2</c:v>
                </c:pt>
              </c:numCache>
            </c:numRef>
          </c:val>
        </c:ser>
        <c:ser>
          <c:idx val="1"/>
          <c:order val="1"/>
          <c:tx>
            <c:strRef>
              <c:f>规上工业增加值及利税!$A$5</c:f>
              <c:strCache>
                <c:ptCount val="1"/>
                <c:pt idx="0">
                  <c:v>利税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规上工业增加值及利税!$B$5:$G$5</c:f>
              <c:numCache>
                <c:formatCode>0.0_ </c:formatCode>
                <c:ptCount val="6"/>
                <c:pt idx="0">
                  <c:v>3.3</c:v>
                </c:pt>
                <c:pt idx="1">
                  <c:v>3.3</c:v>
                </c:pt>
                <c:pt idx="2">
                  <c:v>5.3</c:v>
                </c:pt>
                <c:pt idx="3">
                  <c:v>6.5</c:v>
                </c:pt>
                <c:pt idx="4">
                  <c:v>6.8199999999999985</c:v>
                </c:pt>
                <c:pt idx="5">
                  <c:v>7.7</c:v>
                </c:pt>
              </c:numCache>
            </c:numRef>
          </c:val>
        </c:ser>
        <c:axId val="62031744"/>
        <c:axId val="64204800"/>
      </c:barChart>
      <c:catAx>
        <c:axId val="62031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4.2176063303659743E-2"/>
              <c:y val="0.1437920633055196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4204800"/>
        <c:crosses val="autoZero"/>
        <c:auto val="1"/>
        <c:lblAlgn val="ctr"/>
        <c:lblOffset val="100"/>
      </c:catAx>
      <c:valAx>
        <c:axId val="64204800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62031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5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年全社会固定资产投资增速</a:t>
            </a:r>
          </a:p>
        </c:rich>
      </c:tx>
      <c:layout>
        <c:manualLayout>
          <c:xMode val="edge"/>
          <c:yMode val="edge"/>
          <c:x val="0.33191073823195744"/>
          <c:y val="7.915517780494052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8151116962469763"/>
          <c:y val="0.33108447605929242"/>
          <c:w val="0.68542539095796218"/>
          <c:h val="0.43274329612192725"/>
        </c:manualLayout>
      </c:layout>
      <c:lineChart>
        <c:grouping val="standard"/>
        <c:ser>
          <c:idx val="0"/>
          <c:order val="0"/>
          <c:tx>
            <c:strRef>
              <c:f>全社会固定资产投资!$A$4</c:f>
              <c:strCache>
                <c:ptCount val="1"/>
                <c:pt idx="0">
                  <c:v>全社会固定资产投资增速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cat>
            <c:strRef>
              <c:f>全社会固定资产投资!$B$3:$G$3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全社会固定资产投资!$B$4:$G$4</c:f>
              <c:numCache>
                <c:formatCode>0.0_ </c:formatCode>
                <c:ptCount val="6"/>
                <c:pt idx="0">
                  <c:v>18.8</c:v>
                </c:pt>
                <c:pt idx="1">
                  <c:v>15.1</c:v>
                </c:pt>
                <c:pt idx="2">
                  <c:v>6</c:v>
                </c:pt>
                <c:pt idx="3">
                  <c:v>10</c:v>
                </c:pt>
                <c:pt idx="4">
                  <c:v>6.2</c:v>
                </c:pt>
                <c:pt idx="5">
                  <c:v>6.9</c:v>
                </c:pt>
              </c:numCache>
            </c:numRef>
          </c:val>
        </c:ser>
        <c:marker val="1"/>
        <c:axId val="107844352"/>
        <c:axId val="107846272"/>
      </c:lineChart>
      <c:catAx>
        <c:axId val="107844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 sz="1600" baseline="0"/>
                  <a:t>%</a:t>
                </a:r>
                <a:endParaRPr lang="zh-CN" altLang="en-US" sz="1600" baseline="0"/>
              </a:p>
            </c:rich>
          </c:tx>
          <c:layout>
            <c:manualLayout>
              <c:xMode val="edge"/>
              <c:yMode val="edge"/>
              <c:x val="0.29002571185152082"/>
              <c:y val="0.2295864009778562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7846272"/>
        <c:crosses val="autoZero"/>
        <c:auto val="1"/>
        <c:lblAlgn val="ctr"/>
        <c:lblOffset val="100"/>
      </c:catAx>
      <c:valAx>
        <c:axId val="10784627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7844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6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年实际利用外资</a:t>
            </a:r>
          </a:p>
        </c:rich>
      </c:tx>
      <c:layout>
        <c:manualLayout>
          <c:xMode val="edge"/>
          <c:yMode val="edge"/>
          <c:x val="0.27953903672008829"/>
          <c:y val="3.38982200603764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0965592323467583"/>
          <c:y val="0.30356236478192195"/>
          <c:w val="0.78674406938383024"/>
          <c:h val="0.42209634648382133"/>
        </c:manualLayout>
      </c:layout>
      <c:barChart>
        <c:barDir val="col"/>
        <c:grouping val="clustered"/>
        <c:ser>
          <c:idx val="0"/>
          <c:order val="0"/>
          <c:tx>
            <c:strRef>
              <c:f>实际利用外资!$A$4</c:f>
              <c:strCache>
                <c:ptCount val="1"/>
                <c:pt idx="0">
                  <c:v>实际利用外资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实际利用外资!$B$3:$G$3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实际利用外资!$B$4:$G$4</c:f>
              <c:numCache>
                <c:formatCode>0_ </c:formatCode>
                <c:ptCount val="6"/>
                <c:pt idx="0">
                  <c:v>6818</c:v>
                </c:pt>
                <c:pt idx="1">
                  <c:v>1678</c:v>
                </c:pt>
                <c:pt idx="2">
                  <c:v>27607</c:v>
                </c:pt>
                <c:pt idx="3">
                  <c:v>2049</c:v>
                </c:pt>
                <c:pt idx="4">
                  <c:v>2796</c:v>
                </c:pt>
                <c:pt idx="5">
                  <c:v>5226</c:v>
                </c:pt>
              </c:numCache>
            </c:numRef>
          </c:val>
        </c:ser>
        <c:axId val="107867520"/>
        <c:axId val="108144128"/>
      </c:barChart>
      <c:catAx>
        <c:axId val="107867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万美元</a:t>
                </a:r>
              </a:p>
            </c:rich>
          </c:tx>
          <c:layout>
            <c:manualLayout>
              <c:xMode val="edge"/>
              <c:yMode val="edge"/>
              <c:x val="0.11007857136828972"/>
              <c:y val="0.193032526224324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144128"/>
        <c:crosses val="autoZero"/>
        <c:auto val="1"/>
        <c:lblAlgn val="ctr"/>
        <c:lblOffset val="100"/>
        <c:tickLblSkip val="1"/>
      </c:catAx>
      <c:valAx>
        <c:axId val="108144128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7867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7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年全社会消费品零售总额</a:t>
            </a:r>
          </a:p>
        </c:rich>
      </c:tx>
      <c:layout>
        <c:manualLayout>
          <c:xMode val="edge"/>
          <c:yMode val="edge"/>
          <c:x val="0.34527577883467625"/>
          <c:y val="7.901181102362213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295465756880862"/>
          <c:y val="0.2584727034120739"/>
          <c:w val="0.69440579611910136"/>
          <c:h val="0.49354908136483006"/>
        </c:manualLayout>
      </c:layout>
      <c:barChart>
        <c:barDir val="col"/>
        <c:grouping val="clustered"/>
        <c:ser>
          <c:idx val="0"/>
          <c:order val="0"/>
          <c:tx>
            <c:strRef>
              <c:f>社会零售总额!$A$4</c:f>
              <c:strCache>
                <c:ptCount val="1"/>
                <c:pt idx="0">
                  <c:v>全社会消费品零售总额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社会零售总额!$B$3:$G$3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社会零售总额!$B$4:$G$4</c:f>
              <c:numCache>
                <c:formatCode>0.0_ </c:formatCode>
                <c:ptCount val="6"/>
                <c:pt idx="0">
                  <c:v>41.9</c:v>
                </c:pt>
                <c:pt idx="1">
                  <c:v>45.7</c:v>
                </c:pt>
                <c:pt idx="2">
                  <c:v>50.7</c:v>
                </c:pt>
                <c:pt idx="3">
                  <c:v>54.8</c:v>
                </c:pt>
                <c:pt idx="4">
                  <c:v>59.2</c:v>
                </c:pt>
                <c:pt idx="5">
                  <c:v>69.3</c:v>
                </c:pt>
              </c:numCache>
            </c:numRef>
          </c:val>
        </c:ser>
        <c:axId val="108644608"/>
        <c:axId val="108839296"/>
      </c:barChart>
      <c:catAx>
        <c:axId val="108644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0.21990051100140481"/>
              <c:y val="0.1419587926509187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839296"/>
        <c:crosses val="autoZero"/>
        <c:auto val="1"/>
        <c:lblAlgn val="ctr"/>
        <c:lblOffset val="100"/>
      </c:catAx>
      <c:valAx>
        <c:axId val="108839296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644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8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年全县财政收入总量及增速</a:t>
            </a:r>
          </a:p>
        </c:rich>
      </c:tx>
      <c:layout>
        <c:manualLayout>
          <c:xMode val="edge"/>
          <c:yMode val="edge"/>
          <c:x val="0.20461115190183221"/>
          <c:y val="3.2828282828282832E-2"/>
        </c:manualLayout>
      </c:layout>
    </c:title>
    <c:plotArea>
      <c:layout>
        <c:manualLayout>
          <c:layoutTarget val="inner"/>
          <c:xMode val="edge"/>
          <c:yMode val="edge"/>
          <c:x val="0.18649517684887482"/>
          <c:y val="0.22222275245897288"/>
          <c:w val="0.73198898763184161"/>
          <c:h val="0.51515278555275656"/>
        </c:manualLayout>
      </c:layout>
      <c:barChart>
        <c:barDir val="col"/>
        <c:grouping val="clustered"/>
        <c:ser>
          <c:idx val="1"/>
          <c:order val="0"/>
          <c:tx>
            <c:strRef>
              <c:f>财政收入及增速!$A$4</c:f>
              <c:strCache>
                <c:ptCount val="1"/>
                <c:pt idx="0">
                  <c:v>财政收入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财政收入及增速!$B$3:$G$3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财政收入及增速!$B$4:$G$4</c:f>
              <c:numCache>
                <c:formatCode>0.0_ </c:formatCode>
                <c:ptCount val="6"/>
                <c:pt idx="0">
                  <c:v>13.2</c:v>
                </c:pt>
                <c:pt idx="1">
                  <c:v>24</c:v>
                </c:pt>
                <c:pt idx="2">
                  <c:v>39.1</c:v>
                </c:pt>
                <c:pt idx="3">
                  <c:v>29.8</c:v>
                </c:pt>
                <c:pt idx="4">
                  <c:v>30.3</c:v>
                </c:pt>
                <c:pt idx="5">
                  <c:v>28.1</c:v>
                </c:pt>
              </c:numCache>
            </c:numRef>
          </c:val>
        </c:ser>
        <c:axId val="108931712"/>
        <c:axId val="108991616"/>
      </c:barChart>
      <c:lineChart>
        <c:grouping val="standard"/>
        <c:ser>
          <c:idx val="0"/>
          <c:order val="1"/>
          <c:tx>
            <c:strRef>
              <c:f>财政收入及增速!$A$5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财政收入及增速!$B$3:$G$3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财政收入及增速!$B$5:$G$5</c:f>
              <c:numCache>
                <c:formatCode>0.0_ </c:formatCode>
                <c:ptCount val="6"/>
                <c:pt idx="0">
                  <c:v>22.22</c:v>
                </c:pt>
                <c:pt idx="1">
                  <c:v>82</c:v>
                </c:pt>
                <c:pt idx="2">
                  <c:v>62.6</c:v>
                </c:pt>
                <c:pt idx="3">
                  <c:v>-23.7</c:v>
                </c:pt>
                <c:pt idx="4">
                  <c:v>1.7</c:v>
                </c:pt>
                <c:pt idx="5">
                  <c:v>-7.2</c:v>
                </c:pt>
              </c:numCache>
            </c:numRef>
          </c:val>
        </c:ser>
        <c:marker val="1"/>
        <c:axId val="108993152"/>
        <c:axId val="109011712"/>
      </c:lineChart>
      <c:catAx>
        <c:axId val="108931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1239216480576585"/>
              <c:y val="0.12289588801399824"/>
            </c:manualLayout>
          </c:layout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08991616"/>
        <c:crosses val="autoZero"/>
        <c:lblAlgn val="ctr"/>
        <c:lblOffset val="100"/>
      </c:catAx>
      <c:valAx>
        <c:axId val="108991616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08931712"/>
        <c:crosses val="autoZero"/>
        <c:crossBetween val="between"/>
      </c:valAx>
      <c:catAx>
        <c:axId val="10899315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3006253639516934"/>
              <c:y val="0.15488242000053024"/>
            </c:manualLayout>
          </c:layout>
          <c:spPr>
            <a:noFill/>
            <a:ln w="25400">
              <a:noFill/>
            </a:ln>
          </c:spPr>
        </c:title>
        <c:tickLblPos val="none"/>
        <c:crossAx val="109011712"/>
        <c:crosses val="autoZero"/>
        <c:lblAlgn val="ctr"/>
        <c:lblOffset val="100"/>
      </c:catAx>
      <c:valAx>
        <c:axId val="109011712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08993152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9  2015-2020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年城乡居民人均可支配收入</a:t>
            </a:r>
          </a:p>
        </c:rich>
      </c:tx>
      <c:layout>
        <c:manualLayout>
          <c:xMode val="edge"/>
          <c:yMode val="edge"/>
          <c:x val="0.32973323204430993"/>
          <c:y val="3.38981238456304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971197881789746"/>
          <c:y val="0.24988298337707807"/>
          <c:w val="0.67371464197473863"/>
          <c:h val="0.39670548993875826"/>
        </c:manualLayout>
      </c:layout>
      <c:barChart>
        <c:barDir val="col"/>
        <c:grouping val="clustered"/>
        <c:ser>
          <c:idx val="0"/>
          <c:order val="0"/>
          <c:tx>
            <c:strRef>
              <c:f>城乡居民可支配收入!$A$4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城乡居民可支配收入!$B$4:$G$4</c:f>
              <c:numCache>
                <c:formatCode>0_ </c:formatCode>
                <c:ptCount val="6"/>
                <c:pt idx="0">
                  <c:v>27647</c:v>
                </c:pt>
                <c:pt idx="1">
                  <c:v>29942</c:v>
                </c:pt>
                <c:pt idx="2">
                  <c:v>32576</c:v>
                </c:pt>
                <c:pt idx="3">
                  <c:v>35410</c:v>
                </c:pt>
                <c:pt idx="4">
                  <c:v>38597</c:v>
                </c:pt>
                <c:pt idx="5">
                  <c:v>40411</c:v>
                </c:pt>
              </c:numCache>
            </c:numRef>
          </c:val>
        </c:ser>
        <c:ser>
          <c:idx val="1"/>
          <c:order val="1"/>
          <c:tx>
            <c:strRef>
              <c:f>城乡居民可支配收入!$A$5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城乡居民可支配收入!$B$5:$G$5</c:f>
              <c:numCache>
                <c:formatCode>0_ </c:formatCode>
                <c:ptCount val="6"/>
                <c:pt idx="0">
                  <c:v>12244</c:v>
                </c:pt>
                <c:pt idx="1">
                  <c:v>13308</c:v>
                </c:pt>
                <c:pt idx="2">
                  <c:v>14425</c:v>
                </c:pt>
                <c:pt idx="3">
                  <c:v>15781</c:v>
                </c:pt>
                <c:pt idx="4">
                  <c:v>17312</c:v>
                </c:pt>
                <c:pt idx="5">
                  <c:v>18576</c:v>
                </c:pt>
              </c:numCache>
            </c:numRef>
          </c:val>
        </c:ser>
        <c:axId val="54733056"/>
        <c:axId val="54751616"/>
      </c:barChart>
      <c:catAx>
        <c:axId val="54733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0.25139260348964865"/>
              <c:y val="0.1359993195295034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4751616"/>
        <c:crosses val="autoZero"/>
        <c:auto val="1"/>
        <c:lblAlgn val="ctr"/>
        <c:lblOffset val="100"/>
      </c:catAx>
      <c:valAx>
        <c:axId val="54751616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4733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873</Words>
  <Characters>4978</Characters>
  <Application>Microsoft Office Word</Application>
  <DocSecurity>0</DocSecurity>
  <Lines>41</Lines>
  <Paragraphs>11</Paragraphs>
  <ScaleCrop>false</ScaleCrop>
  <Company>tjj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hgz</dc:creator>
  <cp:lastModifiedBy>Administrator</cp:lastModifiedBy>
  <cp:revision>50</cp:revision>
  <cp:lastPrinted>2020-04-14T03:18:00Z</cp:lastPrinted>
  <dcterms:created xsi:type="dcterms:W3CDTF">2020-03-16T08:57:00Z</dcterms:created>
  <dcterms:modified xsi:type="dcterms:W3CDTF">2021-06-04T07:23:00Z</dcterms:modified>
</cp:coreProperties>
</file>